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40D2" w:rsidRPr="00CA078F" w:rsidRDefault="00EB40D2" w:rsidP="00884FEC">
      <w:pPr>
        <w:autoSpaceDE w:val="0"/>
        <w:autoSpaceDN w:val="0"/>
        <w:adjustRightInd w:val="0"/>
        <w:spacing w:line="276" w:lineRule="auto"/>
        <w:jc w:val="center"/>
        <w:rPr>
          <w:b/>
        </w:rPr>
      </w:pPr>
      <w:r w:rsidRPr="00CA078F">
        <w:rPr>
          <w:b/>
        </w:rPr>
        <w:t>ELECTRICITY CONSUMPTION AND ECONOMIC GROWTH: EVIDENCE FROM NIGERIA</w:t>
      </w:r>
    </w:p>
    <w:p w:rsidR="001A7980" w:rsidRDefault="001A7980" w:rsidP="00884FEC">
      <w:pPr>
        <w:autoSpaceDE w:val="0"/>
        <w:autoSpaceDN w:val="0"/>
        <w:adjustRightInd w:val="0"/>
        <w:spacing w:line="276" w:lineRule="auto"/>
        <w:jc w:val="center"/>
        <w:rPr>
          <w:b/>
          <w:color w:val="FF0000"/>
        </w:rPr>
      </w:pPr>
    </w:p>
    <w:p w:rsidR="00EB40D2" w:rsidRPr="00884FEC" w:rsidRDefault="00EB40D2" w:rsidP="00B514B4">
      <w:pPr>
        <w:autoSpaceDE w:val="0"/>
        <w:autoSpaceDN w:val="0"/>
        <w:adjustRightInd w:val="0"/>
        <w:spacing w:line="360" w:lineRule="auto"/>
        <w:rPr>
          <w:b/>
          <w:color w:val="000000" w:themeColor="text1"/>
        </w:rPr>
      </w:pPr>
    </w:p>
    <w:p w:rsidR="001A78FA" w:rsidRPr="00265024" w:rsidRDefault="00EB40D2" w:rsidP="00884FEC">
      <w:pPr>
        <w:jc w:val="both"/>
        <w:rPr>
          <w:b/>
          <w:i/>
          <w:color w:val="000000" w:themeColor="text1"/>
        </w:rPr>
      </w:pPr>
      <w:r w:rsidRPr="00884FEC">
        <w:rPr>
          <w:b/>
          <w:i/>
          <w:color w:val="000000" w:themeColor="text1"/>
        </w:rPr>
        <w:t xml:space="preserve"> Abstract </w:t>
      </w:r>
    </w:p>
    <w:p w:rsidR="00EB40D2" w:rsidRPr="00265024" w:rsidRDefault="00F43FB8" w:rsidP="00265024">
      <w:pPr>
        <w:spacing w:line="480" w:lineRule="auto"/>
        <w:jc w:val="both"/>
        <w:rPr>
          <w:i/>
          <w:color w:val="000000" w:themeColor="text1"/>
        </w:rPr>
      </w:pPr>
      <w:r w:rsidRPr="00265024">
        <w:rPr>
          <w:i/>
        </w:rPr>
        <w:t xml:space="preserve">As one of the major components of energy consumption, the </w:t>
      </w:r>
      <w:r w:rsidR="0079247C" w:rsidRPr="00265024">
        <w:rPr>
          <w:i/>
        </w:rPr>
        <w:t>importance</w:t>
      </w:r>
      <w:r w:rsidRPr="00265024">
        <w:rPr>
          <w:i/>
        </w:rPr>
        <w:t xml:space="preserve"> of electricity to economic growth have been recognized not only by economists, but also by businessmen, engineering and government agencies. This</w:t>
      </w:r>
      <w:r w:rsidR="00EB40D2" w:rsidRPr="00265024">
        <w:rPr>
          <w:i/>
        </w:rPr>
        <w:t xml:space="preserve"> paper seeks to investigate the impact of electricity consumption on economic growth in Nigeria for the period of </w:t>
      </w:r>
      <w:r w:rsidR="00EB40D2" w:rsidRPr="00265024">
        <w:rPr>
          <w:i/>
          <w:lang w:val="en-GB" w:eastAsia="en-GB"/>
        </w:rPr>
        <w:t xml:space="preserve">1986-2021 by using </w:t>
      </w:r>
      <w:r w:rsidR="00EB40D2" w:rsidRPr="00265024">
        <w:rPr>
          <w:i/>
        </w:rPr>
        <w:t>Autoregressive Distributed Lag (ARDL) model.</w:t>
      </w:r>
      <w:r w:rsidRPr="00265024">
        <w:rPr>
          <w:i/>
        </w:rPr>
        <w:t xml:space="preserve"> </w:t>
      </w:r>
      <w:r w:rsidR="00EB40D2" w:rsidRPr="00265024">
        <w:rPr>
          <w:i/>
        </w:rPr>
        <w:t xml:space="preserve">The properties of the series were first check </w:t>
      </w:r>
      <w:r w:rsidR="00EB40D2" w:rsidRPr="00265024">
        <w:rPr>
          <w:i/>
          <w:color w:val="000000" w:themeColor="text1"/>
        </w:rPr>
        <w:t xml:space="preserve">using Augmented Dickey fuller (ADF) and Phillip Peron (PP) unit root tests and the result found a mixture of order of integration which paved the use ARDL model. The </w:t>
      </w:r>
      <w:r w:rsidR="00884FEC" w:rsidRPr="00265024">
        <w:rPr>
          <w:i/>
          <w:color w:val="000000" w:themeColor="text1"/>
        </w:rPr>
        <w:t>findings of ARDL bond test indicate</w:t>
      </w:r>
      <w:r w:rsidR="00EB40D2" w:rsidRPr="00265024">
        <w:rPr>
          <w:i/>
          <w:color w:val="000000" w:themeColor="text1"/>
        </w:rPr>
        <w:t xml:space="preserve"> the present cointegration. Evidence from the short run reveals that the speed of adjustment is negative and statically significant, confirming the expected equilibrium process in the short run dynamics among the variables under study. The results also show that, energy consumption, inflation </w:t>
      </w:r>
      <w:r w:rsidR="004E3DF0" w:rsidRPr="00265024">
        <w:rPr>
          <w:i/>
          <w:color w:val="000000" w:themeColor="text1"/>
        </w:rPr>
        <w:t>and industrial product</w:t>
      </w:r>
      <w:r w:rsidR="00265024">
        <w:rPr>
          <w:i/>
          <w:color w:val="000000" w:themeColor="text1"/>
        </w:rPr>
        <w:t xml:space="preserve"> are </w:t>
      </w:r>
      <w:r w:rsidR="00EB40D2" w:rsidRPr="00265024">
        <w:rPr>
          <w:i/>
          <w:color w:val="000000" w:themeColor="text1"/>
        </w:rPr>
        <w:t xml:space="preserve"> statistically significant and have positive effect on economic growth both in the short run and long run in Nigeria, while unemployment is </w:t>
      </w:r>
      <w:r w:rsidR="004E3DF0" w:rsidRPr="00265024">
        <w:rPr>
          <w:i/>
          <w:color w:val="000000" w:themeColor="text1"/>
        </w:rPr>
        <w:t xml:space="preserve">negative and </w:t>
      </w:r>
      <w:r w:rsidR="00EB40D2" w:rsidRPr="00265024">
        <w:rPr>
          <w:i/>
          <w:color w:val="000000" w:themeColor="text1"/>
        </w:rPr>
        <w:t>statistically significant</w:t>
      </w:r>
      <w:r w:rsidR="00884FEC" w:rsidRPr="00265024">
        <w:rPr>
          <w:i/>
          <w:color w:val="000000" w:themeColor="text1"/>
        </w:rPr>
        <w:t xml:space="preserve"> both</w:t>
      </w:r>
      <w:r w:rsidR="00EB40D2" w:rsidRPr="00265024">
        <w:rPr>
          <w:i/>
          <w:color w:val="000000" w:themeColor="text1"/>
        </w:rPr>
        <w:t xml:space="preserve"> in the short run and</w:t>
      </w:r>
      <w:r w:rsidR="00884FEC" w:rsidRPr="00265024">
        <w:rPr>
          <w:i/>
          <w:color w:val="000000" w:themeColor="text1"/>
        </w:rPr>
        <w:t xml:space="preserve"> long run.</w:t>
      </w:r>
      <w:r w:rsidR="00EB40D2" w:rsidRPr="00265024">
        <w:rPr>
          <w:rFonts w:eastAsia="Swift-Regular"/>
          <w:i/>
          <w:color w:val="000000" w:themeColor="text1"/>
        </w:rPr>
        <w:t xml:space="preserve"> Based on the findings the paper recommends that, government should undertake serious measures to curtail the shortage of electricity consumption in the country in</w:t>
      </w:r>
      <w:r w:rsidR="00884FEC" w:rsidRPr="00265024">
        <w:rPr>
          <w:rFonts w:eastAsia="Swift-Regular"/>
          <w:i/>
          <w:color w:val="000000" w:themeColor="text1"/>
        </w:rPr>
        <w:t xml:space="preserve"> order</w:t>
      </w:r>
      <w:r w:rsidR="00EB40D2" w:rsidRPr="00265024">
        <w:rPr>
          <w:rFonts w:eastAsia="Swift-Regular"/>
          <w:i/>
          <w:color w:val="000000" w:themeColor="text1"/>
        </w:rPr>
        <w:t xml:space="preserve"> to promote economic growth in general. More so, the government should adopt appropriate policy that will reduce the level of unemployment which has adverse effect on economic growth.</w:t>
      </w:r>
    </w:p>
    <w:p w:rsidR="00265024" w:rsidRPr="00884FEC" w:rsidRDefault="00E714B3" w:rsidP="00884FEC">
      <w:pPr>
        <w:jc w:val="both"/>
        <w:rPr>
          <w:i/>
          <w:color w:val="000000" w:themeColor="text1"/>
        </w:rPr>
      </w:pPr>
      <w:r w:rsidRPr="00884FEC">
        <w:rPr>
          <w:b/>
          <w:i/>
          <w:color w:val="000000" w:themeColor="text1"/>
        </w:rPr>
        <w:t>Keywords:</w:t>
      </w:r>
      <w:r w:rsidR="00EB40D2" w:rsidRPr="00884FEC">
        <w:rPr>
          <w:i/>
          <w:color w:val="000000" w:themeColor="text1"/>
        </w:rPr>
        <w:t xml:space="preserve"> Electricity </w:t>
      </w:r>
      <w:r w:rsidRPr="00884FEC">
        <w:rPr>
          <w:i/>
          <w:color w:val="000000" w:themeColor="text1"/>
        </w:rPr>
        <w:t>Consumption, Economic</w:t>
      </w:r>
      <w:r w:rsidR="00EB40D2" w:rsidRPr="00884FEC">
        <w:rPr>
          <w:i/>
          <w:color w:val="000000" w:themeColor="text1"/>
        </w:rPr>
        <w:t xml:space="preserve"> Growth, Unemployment, Inflation</w:t>
      </w:r>
      <w:r w:rsidRPr="00884FEC">
        <w:rPr>
          <w:i/>
          <w:color w:val="000000" w:themeColor="text1"/>
        </w:rPr>
        <w:t>.</w:t>
      </w:r>
    </w:p>
    <w:p w:rsidR="00EB40D2" w:rsidRDefault="00E714B3" w:rsidP="00884FEC">
      <w:pPr>
        <w:jc w:val="both"/>
        <w:rPr>
          <w:rFonts w:eastAsiaTheme="minorHAnsi"/>
          <w:i/>
          <w:iCs/>
          <w:color w:val="000000" w:themeColor="text1"/>
        </w:rPr>
      </w:pPr>
      <w:r w:rsidRPr="00884FEC">
        <w:rPr>
          <w:i/>
          <w:color w:val="000000" w:themeColor="text1"/>
        </w:rPr>
        <w:t>JEL: Q</w:t>
      </w:r>
      <w:r w:rsidR="00667F26" w:rsidRPr="00884FEC">
        <w:rPr>
          <w:i/>
          <w:color w:val="000000" w:themeColor="text1"/>
        </w:rPr>
        <w:t>43,</w:t>
      </w:r>
      <w:r w:rsidR="00667F26" w:rsidRPr="00884FEC">
        <w:rPr>
          <w:rFonts w:eastAsiaTheme="minorHAnsi"/>
          <w:i/>
          <w:iCs/>
          <w:color w:val="000000" w:themeColor="text1"/>
        </w:rPr>
        <w:t xml:space="preserve"> C</w:t>
      </w:r>
      <w:r w:rsidR="00705C6A" w:rsidRPr="00884FEC">
        <w:rPr>
          <w:rFonts w:eastAsiaTheme="minorHAnsi"/>
          <w:i/>
          <w:iCs/>
          <w:color w:val="000000" w:themeColor="text1"/>
        </w:rPr>
        <w:t>32</w:t>
      </w:r>
      <w:r w:rsidR="00265024">
        <w:rPr>
          <w:rFonts w:eastAsiaTheme="minorHAnsi"/>
          <w:i/>
          <w:iCs/>
          <w:color w:val="000000" w:themeColor="text1"/>
        </w:rPr>
        <w:t>.</w:t>
      </w:r>
    </w:p>
    <w:p w:rsidR="00265024" w:rsidRDefault="00265024" w:rsidP="00884FEC">
      <w:pPr>
        <w:jc w:val="both"/>
        <w:rPr>
          <w:rFonts w:eastAsiaTheme="minorHAnsi"/>
          <w:i/>
          <w:iCs/>
          <w:color w:val="000000" w:themeColor="text1"/>
        </w:rPr>
      </w:pPr>
    </w:p>
    <w:p w:rsidR="00265024" w:rsidRDefault="00265024" w:rsidP="00884FEC">
      <w:pPr>
        <w:jc w:val="both"/>
        <w:rPr>
          <w:rFonts w:eastAsiaTheme="minorHAnsi"/>
          <w:i/>
          <w:iCs/>
          <w:color w:val="000000" w:themeColor="text1"/>
        </w:rPr>
      </w:pPr>
    </w:p>
    <w:p w:rsidR="00265024" w:rsidRPr="00884FEC" w:rsidRDefault="00265024" w:rsidP="00884FEC">
      <w:pPr>
        <w:jc w:val="both"/>
        <w:rPr>
          <w:i/>
          <w:color w:val="000000" w:themeColor="text1"/>
        </w:rPr>
      </w:pPr>
    </w:p>
    <w:p w:rsidR="00F331FE" w:rsidRPr="00884FEC" w:rsidRDefault="00F331FE" w:rsidP="005B55A3">
      <w:pPr>
        <w:spacing w:line="360" w:lineRule="auto"/>
        <w:rPr>
          <w:color w:val="000000" w:themeColor="text1"/>
        </w:rPr>
      </w:pPr>
    </w:p>
    <w:p w:rsidR="00484E5E" w:rsidRPr="00120625" w:rsidRDefault="00884FEC" w:rsidP="00120625">
      <w:pPr>
        <w:pStyle w:val="ListParagraph"/>
        <w:numPr>
          <w:ilvl w:val="0"/>
          <w:numId w:val="2"/>
        </w:numPr>
        <w:spacing w:line="360" w:lineRule="auto"/>
        <w:jc w:val="both"/>
        <w:rPr>
          <w:b/>
          <w:color w:val="000000" w:themeColor="text1"/>
        </w:rPr>
      </w:pPr>
      <w:r w:rsidRPr="00120625">
        <w:rPr>
          <w:b/>
          <w:color w:val="000000" w:themeColor="text1"/>
        </w:rPr>
        <w:lastRenderedPageBreak/>
        <w:t>Introduction</w:t>
      </w:r>
    </w:p>
    <w:p w:rsidR="00705C6A" w:rsidRPr="00884FEC" w:rsidRDefault="00484E5E" w:rsidP="005B55A3">
      <w:pPr>
        <w:autoSpaceDE w:val="0"/>
        <w:autoSpaceDN w:val="0"/>
        <w:adjustRightInd w:val="0"/>
        <w:spacing w:line="360" w:lineRule="auto"/>
        <w:jc w:val="both"/>
        <w:rPr>
          <w:rFonts w:eastAsiaTheme="minorHAnsi"/>
          <w:color w:val="000000" w:themeColor="text1"/>
        </w:rPr>
      </w:pPr>
      <w:r w:rsidRPr="00884FEC">
        <w:rPr>
          <w:color w:val="000000" w:themeColor="text1"/>
        </w:rPr>
        <w:t xml:space="preserve">The nexus between electricity consumption and economic growth is widely debatable among researchers for over three </w:t>
      </w:r>
      <w:r w:rsidR="00667F26" w:rsidRPr="00884FEC">
        <w:rPr>
          <w:color w:val="000000" w:themeColor="text1"/>
        </w:rPr>
        <w:t>decade.</w:t>
      </w:r>
      <w:r w:rsidR="00667F26" w:rsidRPr="00884FEC">
        <w:rPr>
          <w:rFonts w:eastAsiaTheme="minorHAnsi"/>
          <w:color w:val="000000" w:themeColor="text1"/>
        </w:rPr>
        <w:t xml:space="preserve"> One</w:t>
      </w:r>
      <w:r w:rsidR="00705C6A" w:rsidRPr="00884FEC">
        <w:rPr>
          <w:rFonts w:eastAsiaTheme="minorHAnsi"/>
          <w:color w:val="000000" w:themeColor="text1"/>
        </w:rPr>
        <w:t xml:space="preserve"> of the most examined issues in growth literature, recently, is the causal linkage between electricity consumption and economic growth. The modern-day climate change, energy crises, rising prices of crude oil, and the ever-growing emission of carbon into the atmosphere have added momentum to the debate. The ability to establish the exact causal pattern between electricity consumption and economic growth is of immense relevance for policy formulation, especially for countries such as Nigeria which rely heavily on electricity as their sole source of energy. Empirical support for electricity-led growth would imply that conservation policies could be disastrous for economic growth, which inherently enhances poverty, and reduces both job creation and societal welfare (see Ghosh, 2002). Further, if economic growth Granger-causes electricity consumption, then there might be little to worry about when implementing</w:t>
      </w:r>
      <w:r w:rsidR="00374E6D" w:rsidRPr="00884FEC">
        <w:rPr>
          <w:rFonts w:eastAsiaTheme="minorHAnsi"/>
          <w:color w:val="000000" w:themeColor="text1"/>
        </w:rPr>
        <w:t xml:space="preserve">. </w:t>
      </w:r>
      <w:r w:rsidR="009338D1" w:rsidRPr="00884FEC">
        <w:rPr>
          <w:rFonts w:eastAsiaTheme="minorHAnsi"/>
          <w:color w:val="000000" w:themeColor="text1"/>
        </w:rPr>
        <w:t>Electricity-related</w:t>
      </w:r>
      <w:r w:rsidR="00705C6A" w:rsidRPr="00884FEC">
        <w:rPr>
          <w:rFonts w:eastAsiaTheme="minorHAnsi"/>
          <w:color w:val="000000" w:themeColor="text1"/>
        </w:rPr>
        <w:t xml:space="preserve"> conservation policies </w:t>
      </w:r>
      <w:r w:rsidR="000F07CE" w:rsidRPr="00884FEC">
        <w:rPr>
          <w:rFonts w:eastAsiaTheme="minorHAnsi"/>
          <w:color w:val="000000" w:themeColor="text1"/>
        </w:rPr>
        <w:t>(</w:t>
      </w:r>
      <w:proofErr w:type="spellStart"/>
      <w:r w:rsidR="000F07CE" w:rsidRPr="00884FEC">
        <w:rPr>
          <w:rFonts w:eastAsiaTheme="minorHAnsi"/>
          <w:color w:val="000000" w:themeColor="text1"/>
        </w:rPr>
        <w:t>Asafu</w:t>
      </w:r>
      <w:r w:rsidR="00705C6A" w:rsidRPr="00884FEC">
        <w:rPr>
          <w:rFonts w:eastAsiaTheme="minorHAnsi"/>
          <w:color w:val="000000" w:themeColor="text1"/>
        </w:rPr>
        <w:t>-Adjaye</w:t>
      </w:r>
      <w:proofErr w:type="spellEnd"/>
      <w:r w:rsidR="00705C6A" w:rsidRPr="00884FEC">
        <w:rPr>
          <w:rFonts w:eastAsiaTheme="minorHAnsi"/>
          <w:color w:val="000000" w:themeColor="text1"/>
        </w:rPr>
        <w:t>, 2000, Narayan and Smyth,</w:t>
      </w:r>
      <w:r w:rsidR="00AB0CD4">
        <w:rPr>
          <w:rFonts w:eastAsiaTheme="minorHAnsi"/>
          <w:color w:val="000000" w:themeColor="text1"/>
        </w:rPr>
        <w:t xml:space="preserve"> </w:t>
      </w:r>
      <w:r w:rsidR="00705C6A" w:rsidRPr="00884FEC">
        <w:rPr>
          <w:rFonts w:eastAsiaTheme="minorHAnsi"/>
          <w:color w:val="000000" w:themeColor="text1"/>
        </w:rPr>
        <w:t>2007).</w:t>
      </w:r>
    </w:p>
    <w:p w:rsidR="005B55A3" w:rsidRPr="00884FEC" w:rsidRDefault="00325118" w:rsidP="005B55A3">
      <w:pPr>
        <w:autoSpaceDE w:val="0"/>
        <w:autoSpaceDN w:val="0"/>
        <w:adjustRightInd w:val="0"/>
        <w:spacing w:line="360" w:lineRule="auto"/>
        <w:jc w:val="both"/>
        <w:rPr>
          <w:color w:val="000000" w:themeColor="text1"/>
        </w:rPr>
      </w:pPr>
      <w:r w:rsidRPr="00884FEC">
        <w:rPr>
          <w:color w:val="000000" w:themeColor="text1"/>
        </w:rPr>
        <w:t xml:space="preserve">As one of the major components of energy consumption, the importance of electricity to economic </w:t>
      </w:r>
      <w:r w:rsidR="00667F26" w:rsidRPr="00884FEC">
        <w:rPr>
          <w:color w:val="000000" w:themeColor="text1"/>
        </w:rPr>
        <w:t xml:space="preserve">growth </w:t>
      </w:r>
      <w:proofErr w:type="spellStart"/>
      <w:r w:rsidR="00667F26" w:rsidRPr="00884FEC">
        <w:rPr>
          <w:color w:val="000000" w:themeColor="text1"/>
        </w:rPr>
        <w:t>havebeen</w:t>
      </w:r>
      <w:proofErr w:type="spellEnd"/>
      <w:r w:rsidR="00667F26" w:rsidRPr="00884FEC">
        <w:rPr>
          <w:color w:val="000000" w:themeColor="text1"/>
        </w:rPr>
        <w:t xml:space="preserve"> recognized</w:t>
      </w:r>
      <w:r w:rsidR="00333FF5" w:rsidRPr="00884FEC">
        <w:rPr>
          <w:color w:val="000000" w:themeColor="text1"/>
        </w:rPr>
        <w:t xml:space="preserve"> not only </w:t>
      </w:r>
      <w:proofErr w:type="spellStart"/>
      <w:r w:rsidR="00667F26" w:rsidRPr="00884FEC">
        <w:rPr>
          <w:color w:val="000000" w:themeColor="text1"/>
        </w:rPr>
        <w:t>byeconomists</w:t>
      </w:r>
      <w:proofErr w:type="spellEnd"/>
      <w:r w:rsidR="00667F26" w:rsidRPr="00884FEC">
        <w:rPr>
          <w:color w:val="000000" w:themeColor="text1"/>
        </w:rPr>
        <w:t>, but also</w:t>
      </w:r>
      <w:r w:rsidRPr="00884FEC">
        <w:rPr>
          <w:color w:val="000000" w:themeColor="text1"/>
        </w:rPr>
        <w:t xml:space="preserve"> by businessmen, engineering, energy and government agencies. As stated by the US Energy In- formation Administration (EIA): “a country’s economy and its energy use, particularly electricity use, are linked. Short term changes in electricity use are often positively correlated with changes in economi</w:t>
      </w:r>
      <w:r w:rsidR="00333FF5" w:rsidRPr="00884FEC">
        <w:rPr>
          <w:color w:val="000000" w:themeColor="text1"/>
        </w:rPr>
        <w:t>c output” (</w:t>
      </w:r>
      <w:r w:rsidRPr="00884FEC">
        <w:rPr>
          <w:color w:val="000000" w:themeColor="text1"/>
        </w:rPr>
        <w:t>EIA,2013).</w:t>
      </w:r>
    </w:p>
    <w:p w:rsidR="005B55A3" w:rsidRPr="00884FEC" w:rsidRDefault="005B55A3" w:rsidP="005B55A3">
      <w:pPr>
        <w:autoSpaceDE w:val="0"/>
        <w:autoSpaceDN w:val="0"/>
        <w:adjustRightInd w:val="0"/>
        <w:spacing w:line="360" w:lineRule="auto"/>
        <w:jc w:val="both"/>
        <w:rPr>
          <w:color w:val="000000" w:themeColor="text1"/>
        </w:rPr>
      </w:pPr>
      <w:r w:rsidRPr="00884FEC">
        <w:rPr>
          <w:color w:val="000000" w:themeColor="text1"/>
        </w:rPr>
        <w:t xml:space="preserve">Electricity is a factor of production and a driver of capital formation it has the capacity to mitigate air population emerging from the household and increase labor hour (Salmon &amp; Tanguy, 2016). Nigeria is one of the countries that has found extremely difficult to provide adequate electricity for its timing population. Since independent in 1960, the sector has performed below par as about 80 million Nigerians do not have access to any form of electricity in their homes, despite the various reforms in the sector (Okafor, 2018). In 2009, only about 47% of Nigerians had access to electricity (UNDP et al., 2009). Nigeria started generating its electricity in 1896, and the Nigerian Electricity Supply Company (NESCO), introduced in 1929, was the pioneer utility company. </w:t>
      </w:r>
    </w:p>
    <w:p w:rsidR="005B55A3" w:rsidRPr="00884FEC" w:rsidRDefault="005B55A3" w:rsidP="005B55A3">
      <w:pPr>
        <w:autoSpaceDE w:val="0"/>
        <w:autoSpaceDN w:val="0"/>
        <w:adjustRightInd w:val="0"/>
        <w:spacing w:line="360" w:lineRule="auto"/>
        <w:jc w:val="both"/>
        <w:rPr>
          <w:color w:val="000000" w:themeColor="text1"/>
        </w:rPr>
      </w:pPr>
      <w:r w:rsidRPr="00884FEC">
        <w:rPr>
          <w:color w:val="000000" w:themeColor="text1"/>
        </w:rPr>
        <w:t xml:space="preserve">After 22 years of operation, the Electric Corporation of Nigeria (ECN) succeeded NESCO in 1951. ECN acquired both the assets and functions of NESCO. In 1962, the Nigeria Dams </w:t>
      </w:r>
      <w:r w:rsidRPr="00884FEC">
        <w:rPr>
          <w:color w:val="000000" w:themeColor="text1"/>
        </w:rPr>
        <w:lastRenderedPageBreak/>
        <w:t>Authority (NDA) became a partner to the ECN to assist in the development of hydropower. ECN and NDA later formed a merger in 1972 which led to the emergence of the National Electric Power Authority (NEPA). Probably due to inefficiency and little or no funding, NEPA was later privatized and subsequently called the Power Holding Company of Nigeria (PHCN). With the reform in the sector in 2005, the Nigerian Electricity Regulatory Commission (NERC) became the chief regulator of the sector with 11 distribution companies and 60% of the company's shares were now owned by private investors. The sector was further reformed in 2013 but little or no progress was achieved in terms of electricity generation and distribution as the country could only generate about 3,500 MW which is a far cry from what is expected to meet the demand of about 180 million Nigerians.</w:t>
      </w:r>
    </w:p>
    <w:p w:rsidR="005B55A3" w:rsidRPr="00884FEC" w:rsidRDefault="005B55A3" w:rsidP="005B55A3">
      <w:pPr>
        <w:autoSpaceDE w:val="0"/>
        <w:autoSpaceDN w:val="0"/>
        <w:adjustRightInd w:val="0"/>
        <w:spacing w:line="360" w:lineRule="auto"/>
        <w:jc w:val="both"/>
        <w:rPr>
          <w:color w:val="000000" w:themeColor="text1"/>
        </w:rPr>
      </w:pPr>
      <w:r w:rsidRPr="00884FEC">
        <w:rPr>
          <w:color w:val="000000" w:themeColor="text1"/>
        </w:rPr>
        <w:t>On December 18, 2017, the sector achieved a peak power generation of 5,222 MW which was an all-time national high. The main objectives of the paper are to investigate the causal relationship between electricity consumption and economic growth in Nigeria for the period of 20 to 2021.</w:t>
      </w:r>
    </w:p>
    <w:p w:rsidR="00325118" w:rsidRPr="00884FEC" w:rsidRDefault="00325118" w:rsidP="005B55A3">
      <w:pPr>
        <w:autoSpaceDE w:val="0"/>
        <w:autoSpaceDN w:val="0"/>
        <w:adjustRightInd w:val="0"/>
        <w:spacing w:line="360" w:lineRule="auto"/>
        <w:jc w:val="both"/>
        <w:rPr>
          <w:color w:val="000000" w:themeColor="text1"/>
        </w:rPr>
      </w:pPr>
    </w:p>
    <w:p w:rsidR="00B4053D" w:rsidRPr="00884FEC" w:rsidRDefault="000F07CE" w:rsidP="005B55A3">
      <w:pPr>
        <w:autoSpaceDE w:val="0"/>
        <w:autoSpaceDN w:val="0"/>
        <w:adjustRightInd w:val="0"/>
        <w:spacing w:line="360" w:lineRule="auto"/>
        <w:rPr>
          <w:b/>
          <w:color w:val="000000" w:themeColor="text1"/>
        </w:rPr>
      </w:pPr>
      <w:r w:rsidRPr="00884FEC">
        <w:rPr>
          <w:b/>
          <w:color w:val="000000" w:themeColor="text1"/>
        </w:rPr>
        <w:t xml:space="preserve">2. </w:t>
      </w:r>
      <w:r w:rsidR="00B4053D" w:rsidRPr="00884FEC">
        <w:rPr>
          <w:b/>
          <w:color w:val="000000" w:themeColor="text1"/>
        </w:rPr>
        <w:t>LITERATURE REVIEW</w:t>
      </w:r>
    </w:p>
    <w:p w:rsidR="00374E6D" w:rsidRPr="00884FEC" w:rsidRDefault="000F07CE" w:rsidP="005B55A3">
      <w:pPr>
        <w:spacing w:line="360" w:lineRule="auto"/>
        <w:jc w:val="both"/>
        <w:rPr>
          <w:color w:val="000000" w:themeColor="text1"/>
        </w:rPr>
      </w:pPr>
      <w:r w:rsidRPr="00884FEC">
        <w:rPr>
          <w:b/>
          <w:bCs/>
          <w:color w:val="000000" w:themeColor="text1"/>
        </w:rPr>
        <w:t>2.1 Conceptual Literature</w:t>
      </w:r>
    </w:p>
    <w:p w:rsidR="00131A8A" w:rsidRPr="00131A8A" w:rsidRDefault="00131A8A" w:rsidP="005B55A3">
      <w:pPr>
        <w:spacing w:line="360" w:lineRule="auto"/>
        <w:jc w:val="both"/>
        <w:rPr>
          <w:b/>
          <w:bCs/>
          <w:color w:val="000000" w:themeColor="text1"/>
        </w:rPr>
      </w:pPr>
      <w:r w:rsidRPr="00131A8A">
        <w:rPr>
          <w:b/>
          <w:bCs/>
          <w:color w:val="000000" w:themeColor="text1"/>
        </w:rPr>
        <w:t xml:space="preserve">2.1.1Concept of Economic Growth </w:t>
      </w:r>
    </w:p>
    <w:p w:rsidR="00E13878" w:rsidRPr="00667F26" w:rsidRDefault="000F07CE" w:rsidP="005B55A3">
      <w:pPr>
        <w:spacing w:line="360" w:lineRule="auto"/>
        <w:jc w:val="both"/>
        <w:rPr>
          <w:b/>
          <w:bCs/>
        </w:rPr>
      </w:pPr>
      <w:r w:rsidRPr="00667F26">
        <w:rPr>
          <w:b/>
          <w:bCs/>
        </w:rPr>
        <w:t xml:space="preserve">2.1.1 </w:t>
      </w:r>
      <w:r w:rsidR="00374E6D" w:rsidRPr="00667F26">
        <w:rPr>
          <w:b/>
          <w:bCs/>
        </w:rPr>
        <w:t xml:space="preserve">Concept of </w:t>
      </w:r>
      <w:r w:rsidR="00667F26" w:rsidRPr="00667F26">
        <w:rPr>
          <w:b/>
          <w:bCs/>
        </w:rPr>
        <w:t xml:space="preserve">Economic growth </w:t>
      </w:r>
    </w:p>
    <w:p w:rsidR="00E13878" w:rsidRPr="00667F26" w:rsidRDefault="00E13878" w:rsidP="005B55A3">
      <w:pPr>
        <w:spacing w:line="360" w:lineRule="auto"/>
        <w:jc w:val="both"/>
      </w:pPr>
      <w:r w:rsidRPr="00667F26">
        <w:t xml:space="preserve"> Gross </w:t>
      </w:r>
      <w:r w:rsidR="001736B6" w:rsidRPr="00667F26">
        <w:t>Domestic product</w:t>
      </w:r>
      <w:r w:rsidRPr="00667F26">
        <w:t xml:space="preserve"> (</w:t>
      </w:r>
      <w:r w:rsidR="000F07CE" w:rsidRPr="00667F26">
        <w:t>G</w:t>
      </w:r>
      <w:r w:rsidRPr="00667F26">
        <w:t xml:space="preserve">DP) is a measure of the economic activity of a country or region. It is the total value of all goods and services produced in a given period of time, typically a year. Real GDP is a measure of GDP that has been adjusted for inflation, so it represents the value of all goods and services produced </w:t>
      </w:r>
      <w:r w:rsidR="001736B6" w:rsidRPr="00667F26">
        <w:t xml:space="preserve">in a given period of time in constant prices. This means that the effect of inflation on the value of GDP is removed, making it a more accurate measure of economic growth or contraction. Real GDP is often used as an indicator of a country’s standard of living and economic performance. In other word  </w:t>
      </w:r>
      <w:r w:rsidR="001736B6" w:rsidRPr="00667F26">
        <w:rPr>
          <w:shd w:val="clear" w:color="auto" w:fill="FFFFFF"/>
        </w:rPr>
        <w:t>Real gross domestic product, or real GDP, is a measure of the economic output of a nation, adjusted for changes in the price of </w:t>
      </w:r>
      <w:hyperlink r:id="rId7" w:history="1">
        <w:r w:rsidR="001736B6" w:rsidRPr="00667F26">
          <w:rPr>
            <w:rStyle w:val="Hyperlink"/>
            <w:color w:val="auto"/>
            <w:u w:val="none"/>
            <w:shd w:val="clear" w:color="auto" w:fill="FFFFFF"/>
          </w:rPr>
          <w:t>goods</w:t>
        </w:r>
      </w:hyperlink>
      <w:r w:rsidR="001736B6" w:rsidRPr="00667F26">
        <w:rPr>
          <w:shd w:val="clear" w:color="auto" w:fill="FFFFFF"/>
        </w:rPr>
        <w:t>. Nominal GDP, often just called “</w:t>
      </w:r>
      <w:hyperlink r:id="rId8" w:history="1">
        <w:r w:rsidR="001736B6" w:rsidRPr="00667F26">
          <w:rPr>
            <w:rStyle w:val="Hyperlink"/>
            <w:color w:val="auto"/>
            <w:u w:val="none"/>
            <w:shd w:val="clear" w:color="auto" w:fill="FFFFFF"/>
          </w:rPr>
          <w:t>GDP</w:t>
        </w:r>
      </w:hyperlink>
      <w:r w:rsidR="001736B6" w:rsidRPr="00667F26">
        <w:rPr>
          <w:shd w:val="clear" w:color="auto" w:fill="FFFFFF"/>
        </w:rPr>
        <w:t>“, measures the economic output of a nation using only current prices.</w:t>
      </w:r>
      <w:r w:rsidR="001736B6" w:rsidRPr="00667F26">
        <w:t xml:space="preserve"> (Finance Strategies, 2023)</w:t>
      </w:r>
    </w:p>
    <w:p w:rsidR="009E636B" w:rsidRPr="00884FEC" w:rsidRDefault="000F07CE" w:rsidP="005B55A3">
      <w:pPr>
        <w:spacing w:line="360" w:lineRule="auto"/>
        <w:jc w:val="both"/>
        <w:rPr>
          <w:b/>
          <w:bCs/>
          <w:color w:val="000000" w:themeColor="text1"/>
        </w:rPr>
      </w:pPr>
      <w:r w:rsidRPr="00884FEC">
        <w:rPr>
          <w:b/>
          <w:bCs/>
          <w:color w:val="000000" w:themeColor="text1"/>
        </w:rPr>
        <w:t>2.1.2 Concept</w:t>
      </w:r>
      <w:r w:rsidR="009E636B" w:rsidRPr="00884FEC">
        <w:rPr>
          <w:b/>
          <w:bCs/>
          <w:color w:val="000000" w:themeColor="text1"/>
        </w:rPr>
        <w:t xml:space="preserve"> of </w:t>
      </w:r>
      <w:r w:rsidRPr="00884FEC">
        <w:rPr>
          <w:b/>
          <w:bCs/>
          <w:color w:val="000000" w:themeColor="text1"/>
        </w:rPr>
        <w:t xml:space="preserve">Energy Consumption </w:t>
      </w:r>
    </w:p>
    <w:p w:rsidR="001F40F0" w:rsidRPr="00884FEC" w:rsidRDefault="009E636B" w:rsidP="005B55A3">
      <w:pPr>
        <w:spacing w:line="360" w:lineRule="auto"/>
        <w:jc w:val="both"/>
        <w:rPr>
          <w:color w:val="000000" w:themeColor="text1"/>
        </w:rPr>
      </w:pPr>
      <w:r w:rsidRPr="00884FEC">
        <w:rPr>
          <w:color w:val="000000" w:themeColor="text1"/>
        </w:rPr>
        <w:t xml:space="preserve">Energy Consumption refers to the amount of energy used by a device, system, or entire economy. It can be measured in a variety of units, such as joules, watt-hours, or British thermal </w:t>
      </w:r>
      <w:r w:rsidRPr="00884FEC">
        <w:rPr>
          <w:color w:val="000000" w:themeColor="text1"/>
        </w:rPr>
        <w:lastRenderedPageBreak/>
        <w:t xml:space="preserve">units </w:t>
      </w:r>
      <w:r w:rsidR="00354FA6" w:rsidRPr="00884FEC">
        <w:rPr>
          <w:color w:val="000000" w:themeColor="text1"/>
        </w:rPr>
        <w:t>(BTUs). Energy consumption can be associated with the operation with of appliance and equipment, transportation, industrial processes, and the generation of electricity. It is often used as a way to gauge the environmental impact of human activities, as well as to identify opportunities for energy efficiency and conservation. In other word Energy consumption is the amount of energy used by a person, organization, or machine over a period of time.</w:t>
      </w:r>
    </w:p>
    <w:p w:rsidR="00DE620A" w:rsidRPr="00884FEC" w:rsidRDefault="005B55A3" w:rsidP="005B55A3">
      <w:pPr>
        <w:spacing w:line="360" w:lineRule="auto"/>
        <w:jc w:val="both"/>
        <w:rPr>
          <w:b/>
          <w:color w:val="000000" w:themeColor="text1"/>
        </w:rPr>
      </w:pPr>
      <w:r w:rsidRPr="00884FEC">
        <w:rPr>
          <w:b/>
          <w:color w:val="000000" w:themeColor="text1"/>
        </w:rPr>
        <w:t xml:space="preserve">2.2. Theoretical Framework </w:t>
      </w:r>
    </w:p>
    <w:p w:rsidR="00B4053D" w:rsidRPr="00884FEC" w:rsidRDefault="005B55A3" w:rsidP="005B55A3">
      <w:pPr>
        <w:autoSpaceDE w:val="0"/>
        <w:autoSpaceDN w:val="0"/>
        <w:adjustRightInd w:val="0"/>
        <w:spacing w:line="360" w:lineRule="auto"/>
        <w:jc w:val="both"/>
        <w:rPr>
          <w:color w:val="000000" w:themeColor="text1"/>
        </w:rPr>
      </w:pPr>
      <w:r w:rsidRPr="00821399">
        <w:rPr>
          <w:color w:val="000000" w:themeColor="text1"/>
        </w:rPr>
        <w:t>The theoretical framework of this study is based on liberalized electricity market theory.</w:t>
      </w:r>
      <w:r w:rsidR="00F43FB8">
        <w:rPr>
          <w:color w:val="000000" w:themeColor="text1"/>
        </w:rPr>
        <w:t xml:space="preserve"> </w:t>
      </w:r>
      <w:r w:rsidR="00B4053D" w:rsidRPr="00884FEC">
        <w:rPr>
          <w:color w:val="000000" w:themeColor="text1"/>
        </w:rPr>
        <w:t xml:space="preserve">According to </w:t>
      </w:r>
      <w:proofErr w:type="spellStart"/>
      <w:r w:rsidR="00B4053D" w:rsidRPr="00884FEC">
        <w:rPr>
          <w:color w:val="000000" w:themeColor="text1"/>
        </w:rPr>
        <w:t>Osobase</w:t>
      </w:r>
      <w:proofErr w:type="spellEnd"/>
      <w:r w:rsidR="00B4053D" w:rsidRPr="00884FEC">
        <w:rPr>
          <w:color w:val="000000" w:themeColor="text1"/>
        </w:rPr>
        <w:t xml:space="preserve"> and Bakare (2014), the liberalized electricity market theory explains the right of firms to choose to invest in different types of power plants which allow production of electricity at different levels of marginal cost. The theory contends that, since electricity is not storable at reasonable cost, it is optimal for firms to invest in a differentiated portfolio of technologies in order to serve strongly fluctuating demand.</w:t>
      </w:r>
    </w:p>
    <w:p w:rsidR="00484E5E" w:rsidRPr="00884FEC" w:rsidRDefault="005B55A3" w:rsidP="005B55A3">
      <w:pPr>
        <w:autoSpaceDE w:val="0"/>
        <w:autoSpaceDN w:val="0"/>
        <w:adjustRightInd w:val="0"/>
        <w:spacing w:line="360" w:lineRule="auto"/>
        <w:jc w:val="both"/>
        <w:rPr>
          <w:rFonts w:eastAsia="MinionPro-Regular"/>
          <w:b/>
          <w:color w:val="000000" w:themeColor="text1"/>
        </w:rPr>
      </w:pPr>
      <w:r w:rsidRPr="00884FEC">
        <w:rPr>
          <w:rFonts w:eastAsia="MinionPro-Regular"/>
          <w:b/>
          <w:color w:val="000000" w:themeColor="text1"/>
        </w:rPr>
        <w:t>2.3 Empirical Literature</w:t>
      </w:r>
    </w:p>
    <w:p w:rsidR="00484E5E" w:rsidRPr="00884FEC" w:rsidRDefault="00484E5E" w:rsidP="005B55A3">
      <w:pPr>
        <w:autoSpaceDE w:val="0"/>
        <w:autoSpaceDN w:val="0"/>
        <w:adjustRightInd w:val="0"/>
        <w:spacing w:line="360" w:lineRule="auto"/>
        <w:jc w:val="both"/>
        <w:rPr>
          <w:color w:val="000000" w:themeColor="text1"/>
        </w:rPr>
      </w:pPr>
      <w:r w:rsidRPr="00884FEC">
        <w:rPr>
          <w:color w:val="000000" w:themeColor="text1"/>
        </w:rPr>
        <w:t xml:space="preserve"> So many expert agree that a sources are become the main stream of a nation economy prospect by having so many research elaborate on that for instance Imam et al (2019) investigates Sector reforms and institutional corruption; Evidence from electricity industry in Sub-Saharan Africa, the study adopt a dynamic panel estimator with a novel panel data of 47 Sub-Saharan African countries from 2002 to 2013. We find that corruption can significantly reduce technical efficiency of the sector and constrain the efforts to increase access to electricity and national income. The adverse effects are reduced where independent regulatory agencies are established and privatization is implemented. These findings suggest that well-designed reforms not only boost the performance of the sector directly, but also indirectly reduce the negative effects of macro level institutional deficiencies such as corruption on micro and macro performance indicators. </w:t>
      </w:r>
      <w:proofErr w:type="spellStart"/>
      <w:r w:rsidRPr="00884FEC">
        <w:rPr>
          <w:color w:val="000000" w:themeColor="text1"/>
        </w:rPr>
        <w:t>Nkalo</w:t>
      </w:r>
      <w:proofErr w:type="spellEnd"/>
      <w:r w:rsidRPr="00884FEC">
        <w:rPr>
          <w:color w:val="000000" w:themeColor="text1"/>
        </w:rPr>
        <w:t xml:space="preserve"> and </w:t>
      </w:r>
      <w:proofErr w:type="spellStart"/>
      <w:r w:rsidRPr="00884FEC">
        <w:rPr>
          <w:color w:val="000000" w:themeColor="text1"/>
        </w:rPr>
        <w:t>Agwu</w:t>
      </w:r>
      <w:proofErr w:type="spellEnd"/>
      <w:r w:rsidRPr="00884FEC">
        <w:rPr>
          <w:color w:val="000000" w:themeColor="text1"/>
        </w:rPr>
        <w:t xml:space="preserve"> (2019) </w:t>
      </w:r>
      <w:r w:rsidRPr="00884FEC">
        <w:rPr>
          <w:iCs/>
          <w:color w:val="000000" w:themeColor="text1"/>
        </w:rPr>
        <w:t xml:space="preserve">reviews the impact of electricity supply on economic growth. In this background, power supply in Nigeria was studied from 1983 to 2017. Results obtained show that 100% of stake holders and 68% of the general public in </w:t>
      </w:r>
      <w:proofErr w:type="spellStart"/>
      <w:r w:rsidRPr="00884FEC">
        <w:rPr>
          <w:iCs/>
          <w:color w:val="000000" w:themeColor="text1"/>
        </w:rPr>
        <w:t>Umudike</w:t>
      </w:r>
      <w:proofErr w:type="spellEnd"/>
      <w:r w:rsidRPr="00884FEC">
        <w:rPr>
          <w:iCs/>
          <w:color w:val="000000" w:themeColor="text1"/>
        </w:rPr>
        <w:t xml:space="preserve">, </w:t>
      </w:r>
      <w:proofErr w:type="spellStart"/>
      <w:r w:rsidRPr="00884FEC">
        <w:rPr>
          <w:iCs/>
          <w:color w:val="000000" w:themeColor="text1"/>
        </w:rPr>
        <w:t>Abia</w:t>
      </w:r>
      <w:proofErr w:type="spellEnd"/>
      <w:r w:rsidRPr="00884FEC">
        <w:rPr>
          <w:iCs/>
          <w:color w:val="000000" w:themeColor="text1"/>
        </w:rPr>
        <w:t xml:space="preserve"> State, Nigeria agree that power supply in Nigeria has improved in recent times. For every 1% increase in electricity supply, an economy is expected to grow by 3.94%. Inversely, a 1% increase in real gross domestic product leads to a 0.34% increase in electricity supply and consumption. Although, with an improved current generating capacity of 7000 megawatts and distribution capacity of 4600 megawatts, factors such as an increase in load growth, poor maintenance of </w:t>
      </w:r>
      <w:r w:rsidRPr="00884FEC">
        <w:rPr>
          <w:iCs/>
          <w:color w:val="000000" w:themeColor="text1"/>
        </w:rPr>
        <w:lastRenderedPageBreak/>
        <w:t>existing transmission and distribution facilities and lack of adequate physical structure still cause epileptic power situation in most parts of Nigeria. This study recommends that policies aimed at boosting the generating and distribution of electricity supply in Nigeria should be maintained. This in turn would have a positive impact on the economy.</w:t>
      </w:r>
      <w:r w:rsidRPr="00884FEC">
        <w:rPr>
          <w:color w:val="000000" w:themeColor="text1"/>
        </w:rPr>
        <w:t xml:space="preserve"> Nathaniel and </w:t>
      </w:r>
      <w:proofErr w:type="spellStart"/>
      <w:r w:rsidRPr="00884FEC">
        <w:rPr>
          <w:color w:val="000000" w:themeColor="text1"/>
        </w:rPr>
        <w:t>Bekun</w:t>
      </w:r>
      <w:proofErr w:type="spellEnd"/>
      <w:r w:rsidRPr="00884FEC">
        <w:rPr>
          <w:color w:val="000000" w:themeColor="text1"/>
        </w:rPr>
        <w:t xml:space="preserve"> (2019) explores on the link between electricity consumption, urbanization, and economic growth in Nigeria from 1971 to 2014.the study employ the bounds test and the Bayer and </w:t>
      </w:r>
      <w:proofErr w:type="spellStart"/>
      <w:r w:rsidRPr="00884FEC">
        <w:rPr>
          <w:color w:val="000000" w:themeColor="text1"/>
        </w:rPr>
        <w:t>Hanck</w:t>
      </w:r>
      <w:proofErr w:type="spellEnd"/>
      <w:r w:rsidRPr="00884FEC">
        <w:rPr>
          <w:color w:val="000000" w:themeColor="text1"/>
        </w:rPr>
        <w:t xml:space="preserve"> co-integration tests affirm co-integrating relationship. Electricity consumption increases economic growth in both time periods, while the impact of urbanization appears to inhibit growth. the findings. Therefore, the study recommend that the policies </w:t>
      </w:r>
      <w:r w:rsidR="00DB2AEB" w:rsidRPr="00884FEC">
        <w:rPr>
          <w:color w:val="000000" w:themeColor="text1"/>
        </w:rPr>
        <w:t>is to</w:t>
      </w:r>
      <w:r w:rsidRPr="00884FEC">
        <w:rPr>
          <w:color w:val="000000" w:themeColor="text1"/>
        </w:rPr>
        <w:t xml:space="preserve"> ensure efficient electricity supply, curb rapid urbanization, and promote sustainable economic growth were suggested. </w:t>
      </w:r>
      <w:r w:rsidRPr="00884FEC">
        <w:rPr>
          <w:bCs/>
          <w:color w:val="000000" w:themeColor="text1"/>
        </w:rPr>
        <w:t>Yu et al (2019)</w:t>
      </w:r>
      <w:r w:rsidRPr="00884FEC">
        <w:rPr>
          <w:color w:val="000000" w:themeColor="text1"/>
        </w:rPr>
        <w:t xml:space="preserve"> evaluates the effect of electricity production on industrial development and sustainable economic growth. annual data were employed in the period of 1991–2018 are used and three different models are created by using Vector Auto Regression (VAR) methodology. The findings state that electricity production in BRICS countries has a positive effect on both industrial production and sustainable economic growth. Hence, electricity production needs to be increased for them. Sankaran et al (2019) investigates the effects of electricity consumption, using yearly time series data for the period of 1980–2016 with regard to 10 late industrialized nations. The ARDL bound testing approach, the way to deal with co-integration is applied to estimate the long-run connection between the variables. While, error correction method (ECM) is used to find the short-run dynamics. To test the causality among the variables, Toda-Yamamoto test is performed. The results demonstrate the existence of short-run and long-run relationship among the variables and Toda-Yamamoto causality results support the existence of growth, conservation, feedback and neutrality hypotheses for different nations. The difference in the results can be attributed to structural and macroeconomic parameters. In general, this research brings out a fresh lead of knowledge for late industrialized nations to strengthen their economic development through proficient utilization of energy consumption. </w:t>
      </w:r>
      <w:r w:rsidRPr="00884FEC">
        <w:rPr>
          <w:bCs/>
          <w:color w:val="000000" w:themeColor="text1"/>
        </w:rPr>
        <w:t>Oyeyemi (2018)</w:t>
      </w:r>
      <w:r w:rsidRPr="00884FEC">
        <w:rPr>
          <w:color w:val="000000" w:themeColor="text1"/>
        </w:rPr>
        <w:t xml:space="preserve"> investigates disaggregate energy supply and industrial output growth in Nigeria using time series data from 1981-2014. The study employed Ordinary Least Square method, Granger Causality and Johansen Co-integration test to carry out the empirical analysis. In view of the findings, it has been observed that, irregular electricity supply has been a major bane to output growth in the </w:t>
      </w:r>
      <w:r w:rsidRPr="00884FEC">
        <w:rPr>
          <w:color w:val="000000" w:themeColor="text1"/>
        </w:rPr>
        <w:lastRenderedPageBreak/>
        <w:t>manufacturing sector; therefore, it is recommended that the power sector by means of guided private sector initiative should be given more attention for the growth of the nation’s economy.</w:t>
      </w:r>
    </w:p>
    <w:p w:rsidR="005B55A3" w:rsidRPr="00884FEC" w:rsidRDefault="005B55A3" w:rsidP="005B55A3">
      <w:pPr>
        <w:spacing w:line="360" w:lineRule="auto"/>
        <w:jc w:val="both"/>
        <w:rPr>
          <w:b/>
          <w:color w:val="000000" w:themeColor="text1"/>
        </w:rPr>
      </w:pPr>
      <w:r w:rsidRPr="00884FEC">
        <w:rPr>
          <w:b/>
          <w:color w:val="000000" w:themeColor="text1"/>
        </w:rPr>
        <w:t>3 Methodology</w:t>
      </w:r>
    </w:p>
    <w:p w:rsidR="00484E5E" w:rsidRPr="00884FEC" w:rsidRDefault="007C4C58" w:rsidP="005B55A3">
      <w:pPr>
        <w:autoSpaceDE w:val="0"/>
        <w:autoSpaceDN w:val="0"/>
        <w:adjustRightInd w:val="0"/>
        <w:spacing w:line="360" w:lineRule="auto"/>
        <w:jc w:val="both"/>
        <w:rPr>
          <w:b/>
          <w:bCs/>
          <w:color w:val="000000" w:themeColor="text1"/>
        </w:rPr>
      </w:pPr>
      <w:r w:rsidRPr="00884FEC">
        <w:rPr>
          <w:b/>
          <w:bCs/>
          <w:color w:val="000000" w:themeColor="text1"/>
        </w:rPr>
        <w:t xml:space="preserve">3.1 </w:t>
      </w:r>
      <w:r w:rsidR="00484E5E" w:rsidRPr="00884FEC">
        <w:rPr>
          <w:b/>
          <w:bCs/>
          <w:color w:val="000000" w:themeColor="text1"/>
        </w:rPr>
        <w:t xml:space="preserve">Source of Data </w:t>
      </w:r>
    </w:p>
    <w:p w:rsidR="00484E5E" w:rsidRPr="00884FEC" w:rsidRDefault="00484E5E" w:rsidP="005B55A3">
      <w:pPr>
        <w:autoSpaceDE w:val="0"/>
        <w:autoSpaceDN w:val="0"/>
        <w:adjustRightInd w:val="0"/>
        <w:spacing w:line="360" w:lineRule="auto"/>
        <w:jc w:val="both"/>
        <w:rPr>
          <w:b/>
          <w:bCs/>
          <w:color w:val="000000" w:themeColor="text1"/>
        </w:rPr>
      </w:pPr>
      <w:r w:rsidRPr="00884FEC">
        <w:rPr>
          <w:color w:val="000000" w:themeColor="text1"/>
          <w:lang w:val="en-GB" w:eastAsia="en-GB"/>
        </w:rPr>
        <w:t xml:space="preserve">The study utilizes secondary data for the period of 1990-2021 and also the data </w:t>
      </w:r>
      <w:r w:rsidR="007C4C58" w:rsidRPr="00884FEC">
        <w:rPr>
          <w:color w:val="000000" w:themeColor="text1"/>
          <w:lang w:val="en-GB" w:eastAsia="en-GB"/>
        </w:rPr>
        <w:t>were</w:t>
      </w:r>
      <w:r w:rsidRPr="00884FEC">
        <w:rPr>
          <w:color w:val="000000" w:themeColor="text1"/>
          <w:lang w:val="en-GB" w:eastAsia="en-GB"/>
        </w:rPr>
        <w:t xml:space="preserve"> source</w:t>
      </w:r>
      <w:r w:rsidR="007C4C58" w:rsidRPr="00884FEC">
        <w:rPr>
          <w:color w:val="000000" w:themeColor="text1"/>
          <w:lang w:val="en-GB" w:eastAsia="en-GB"/>
        </w:rPr>
        <w:t>d</w:t>
      </w:r>
      <w:r w:rsidRPr="00884FEC">
        <w:rPr>
          <w:color w:val="000000" w:themeColor="text1"/>
          <w:lang w:val="en-GB" w:eastAsia="en-GB"/>
        </w:rPr>
        <w:t xml:space="preserve"> from </w:t>
      </w:r>
      <w:r w:rsidR="007C4C58" w:rsidRPr="00884FEC">
        <w:rPr>
          <w:color w:val="000000" w:themeColor="text1"/>
          <w:lang w:val="en-GB" w:eastAsia="en-GB"/>
        </w:rPr>
        <w:t xml:space="preserve">World Development Indicator </w:t>
      </w:r>
      <w:r w:rsidRPr="00884FEC">
        <w:rPr>
          <w:color w:val="000000" w:themeColor="text1"/>
          <w:lang w:val="en-GB" w:eastAsia="en-GB"/>
        </w:rPr>
        <w:t xml:space="preserve">(WDI), 2021 </w:t>
      </w:r>
    </w:p>
    <w:p w:rsidR="00484E5E" w:rsidRPr="00884FEC" w:rsidRDefault="007C4C58" w:rsidP="005B55A3">
      <w:pPr>
        <w:spacing w:line="360" w:lineRule="auto"/>
        <w:jc w:val="both"/>
        <w:rPr>
          <w:b/>
          <w:color w:val="000000" w:themeColor="text1"/>
        </w:rPr>
      </w:pPr>
      <w:r w:rsidRPr="00884FEC">
        <w:rPr>
          <w:b/>
          <w:color w:val="000000" w:themeColor="text1"/>
        </w:rPr>
        <w:t>3.1 Model Specification</w:t>
      </w:r>
    </w:p>
    <w:p w:rsidR="00484E5E" w:rsidRPr="00884FEC" w:rsidRDefault="00484E5E" w:rsidP="005B55A3">
      <w:pPr>
        <w:spacing w:line="360" w:lineRule="auto"/>
        <w:jc w:val="both"/>
        <w:rPr>
          <w:rStyle w:val="A8"/>
          <w:rFonts w:eastAsiaTheme="minorEastAsia"/>
          <w:color w:val="000000" w:themeColor="text1"/>
          <w:sz w:val="24"/>
          <w:szCs w:val="24"/>
        </w:rPr>
      </w:pPr>
      <w:r w:rsidRPr="00884FEC">
        <w:rPr>
          <w:rStyle w:val="A8"/>
          <w:rFonts w:eastAsiaTheme="minorEastAsia"/>
          <w:color w:val="000000" w:themeColor="text1"/>
          <w:sz w:val="24"/>
          <w:szCs w:val="24"/>
        </w:rPr>
        <w:t xml:space="preserve">The theoretical literature has shown that economic growth is related to </w:t>
      </w:r>
      <w:r w:rsidRPr="00884FEC">
        <w:rPr>
          <w:color w:val="000000" w:themeColor="text1"/>
        </w:rPr>
        <w:t>electricity consumption and Industrial Production.</w:t>
      </w:r>
      <w:r w:rsidRPr="00884FEC">
        <w:rPr>
          <w:rStyle w:val="A8"/>
          <w:rFonts w:eastAsiaTheme="minorEastAsia"/>
          <w:color w:val="000000" w:themeColor="text1"/>
          <w:sz w:val="24"/>
          <w:szCs w:val="24"/>
        </w:rPr>
        <w:t xml:space="preserve"> Therefore, theoretical economic growth function can be presented as follows:</w:t>
      </w:r>
    </w:p>
    <w:p w:rsidR="00484E5E" w:rsidRPr="00884FEC" w:rsidRDefault="00484E5E" w:rsidP="005B55A3">
      <w:pPr>
        <w:autoSpaceDE w:val="0"/>
        <w:autoSpaceDN w:val="0"/>
        <w:adjustRightInd w:val="0"/>
        <w:spacing w:line="360" w:lineRule="auto"/>
        <w:jc w:val="both"/>
        <w:rPr>
          <w:color w:val="000000" w:themeColor="text1"/>
        </w:rPr>
      </w:pPr>
      <m:oMathPara>
        <m:oMath>
          <m:r>
            <w:rPr>
              <w:rFonts w:ascii="Cambria Math" w:hAnsi="Cambria Math"/>
              <w:color w:val="000000" w:themeColor="text1"/>
            </w:rPr>
            <m:t>GDP</m:t>
          </m:r>
          <m:r>
            <w:rPr>
              <w:rFonts w:ascii="Cambria Math"/>
              <w:color w:val="000000" w:themeColor="text1"/>
            </w:rPr>
            <m:t>=</m:t>
          </m:r>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ELC</m:t>
              </m:r>
              <m:r>
                <w:rPr>
                  <w:rFonts w:ascii="Cambria Math"/>
                  <w:color w:val="000000" w:themeColor="text1"/>
                </w:rPr>
                <m:t>,</m:t>
              </m:r>
              <m:r>
                <w:rPr>
                  <w:rFonts w:ascii="Cambria Math" w:hAnsi="Cambria Math"/>
                  <w:color w:val="000000" w:themeColor="text1"/>
                </w:rPr>
                <m:t>INP</m:t>
              </m:r>
            </m:e>
          </m:d>
          <m:r>
            <w:rPr>
              <w:rFonts w:ascii="Cambria Math" w:hAnsi="Cambria Math"/>
              <w:color w:val="000000" w:themeColor="text1"/>
            </w:rPr>
            <m:t>--------------</m:t>
          </m:r>
          <m:r>
            <w:rPr>
              <w:rFonts w:ascii="Cambria Math"/>
              <w:color w:val="000000" w:themeColor="text1"/>
            </w:rPr>
            <m:t>(1)</m:t>
          </m:r>
        </m:oMath>
      </m:oMathPara>
    </w:p>
    <w:p w:rsidR="00484E5E" w:rsidRPr="00884FEC" w:rsidRDefault="00484E5E" w:rsidP="005B55A3">
      <w:pPr>
        <w:spacing w:line="360" w:lineRule="auto"/>
        <w:jc w:val="both"/>
        <w:rPr>
          <w:rStyle w:val="A8"/>
          <w:rFonts w:eastAsiaTheme="minorEastAsia"/>
          <w:color w:val="000000" w:themeColor="text1"/>
          <w:sz w:val="24"/>
          <w:szCs w:val="24"/>
        </w:rPr>
      </w:pPr>
      <w:r w:rsidRPr="00884FEC">
        <w:rPr>
          <w:rStyle w:val="A8"/>
          <w:rFonts w:eastAsiaTheme="minorEastAsia"/>
          <w:color w:val="000000" w:themeColor="text1"/>
          <w:sz w:val="24"/>
          <w:szCs w:val="24"/>
        </w:rPr>
        <w:t xml:space="preserve">Where: </w:t>
      </w:r>
      <w:r w:rsidRPr="00884FEC">
        <w:rPr>
          <w:rStyle w:val="A8"/>
          <w:rFonts w:eastAsiaTheme="minorEastAsia"/>
          <w:i/>
          <w:iCs/>
          <w:color w:val="000000" w:themeColor="text1"/>
          <w:sz w:val="24"/>
          <w:szCs w:val="24"/>
        </w:rPr>
        <w:t>GDP</w:t>
      </w:r>
      <w:r w:rsidR="00265024">
        <w:rPr>
          <w:rStyle w:val="A8"/>
          <w:rFonts w:eastAsiaTheme="minorEastAsia"/>
          <w:i/>
          <w:iCs/>
          <w:color w:val="000000" w:themeColor="text1"/>
          <w:sz w:val="24"/>
          <w:szCs w:val="24"/>
        </w:rPr>
        <w:t xml:space="preserve"> </w:t>
      </w:r>
      <w:r w:rsidRPr="00884FEC">
        <w:rPr>
          <w:rStyle w:val="A8"/>
          <w:rFonts w:eastAsiaTheme="minorEastAsia"/>
          <w:color w:val="000000" w:themeColor="text1"/>
          <w:sz w:val="24"/>
          <w:szCs w:val="24"/>
        </w:rPr>
        <w:t xml:space="preserve">represent real gross domestic product, </w:t>
      </w:r>
      <w:r w:rsidRPr="00884FEC">
        <w:rPr>
          <w:rStyle w:val="A8"/>
          <w:rFonts w:eastAsiaTheme="minorEastAsia"/>
          <w:i/>
          <w:color w:val="000000" w:themeColor="text1"/>
          <w:sz w:val="24"/>
          <w:szCs w:val="24"/>
        </w:rPr>
        <w:t>ELC</w:t>
      </w:r>
      <w:r w:rsidRPr="00884FEC">
        <w:rPr>
          <w:rStyle w:val="A8"/>
          <w:rFonts w:eastAsiaTheme="minorEastAsia"/>
          <w:color w:val="000000" w:themeColor="text1"/>
          <w:sz w:val="24"/>
          <w:szCs w:val="24"/>
        </w:rPr>
        <w:t xml:space="preserve"> represent </w:t>
      </w:r>
      <w:r w:rsidRPr="00884FEC">
        <w:rPr>
          <w:color w:val="000000" w:themeColor="text1"/>
        </w:rPr>
        <w:t xml:space="preserve">electricity consumption and </w:t>
      </w:r>
      <w:r w:rsidR="00933406" w:rsidRPr="00884FEC">
        <w:rPr>
          <w:i/>
          <w:color w:val="000000" w:themeColor="text1"/>
        </w:rPr>
        <w:t>IN</w:t>
      </w:r>
      <w:r w:rsidRPr="00884FEC">
        <w:rPr>
          <w:i/>
          <w:color w:val="000000" w:themeColor="text1"/>
        </w:rPr>
        <w:t>P</w:t>
      </w:r>
      <w:r w:rsidR="00265024">
        <w:rPr>
          <w:i/>
          <w:color w:val="000000" w:themeColor="text1"/>
        </w:rPr>
        <w:t xml:space="preserve"> </w:t>
      </w:r>
      <w:r w:rsidRPr="00884FEC">
        <w:rPr>
          <w:rStyle w:val="A8"/>
          <w:rFonts w:eastAsiaTheme="minorEastAsia"/>
          <w:color w:val="000000" w:themeColor="text1"/>
          <w:sz w:val="24"/>
          <w:szCs w:val="24"/>
        </w:rPr>
        <w:t>represent</w:t>
      </w:r>
      <w:r w:rsidRPr="00884FEC">
        <w:rPr>
          <w:color w:val="000000" w:themeColor="text1"/>
        </w:rPr>
        <w:t xml:space="preserve"> Industrial Production. </w:t>
      </w:r>
      <w:r w:rsidRPr="00884FEC">
        <w:rPr>
          <w:rStyle w:val="A8"/>
          <w:rFonts w:eastAsiaTheme="minorEastAsia"/>
          <w:color w:val="000000" w:themeColor="text1"/>
          <w:sz w:val="24"/>
          <w:szCs w:val="24"/>
        </w:rPr>
        <w:t xml:space="preserve">In line with the objectives of this study, </w:t>
      </w:r>
      <w:r w:rsidRPr="00884FEC">
        <w:rPr>
          <w:color w:val="000000" w:themeColor="text1"/>
        </w:rPr>
        <w:t xml:space="preserve">Inflation Rate and employment </w:t>
      </w:r>
      <w:r w:rsidRPr="00884FEC">
        <w:rPr>
          <w:rStyle w:val="A8"/>
          <w:rFonts w:eastAsiaTheme="minorEastAsia"/>
          <w:color w:val="000000" w:themeColor="text1"/>
          <w:sz w:val="24"/>
          <w:szCs w:val="24"/>
        </w:rPr>
        <w:t>are included in the economic growth function as intermittent variables. Therefore, the new economic growth model is written as follows:</w:t>
      </w:r>
    </w:p>
    <w:p w:rsidR="00484E5E" w:rsidRPr="00884FEC" w:rsidRDefault="00484E5E" w:rsidP="005B55A3">
      <w:pPr>
        <w:autoSpaceDE w:val="0"/>
        <w:autoSpaceDN w:val="0"/>
        <w:adjustRightInd w:val="0"/>
        <w:spacing w:line="360" w:lineRule="auto"/>
        <w:jc w:val="both"/>
        <w:rPr>
          <w:rStyle w:val="A8"/>
          <w:rFonts w:eastAsiaTheme="minorEastAsia"/>
          <w:color w:val="000000" w:themeColor="text1"/>
          <w:sz w:val="24"/>
          <w:szCs w:val="24"/>
        </w:rPr>
      </w:pPr>
      <m:oMath>
        <m:r>
          <w:rPr>
            <w:rFonts w:ascii="Cambria Math" w:hAnsi="Cambria Math"/>
            <w:color w:val="000000" w:themeColor="text1"/>
          </w:rPr>
          <m:t>GDP</m:t>
        </m:r>
        <m:r>
          <w:rPr>
            <w:rFonts w:ascii="Cambria Math"/>
            <w:color w:val="000000" w:themeColor="text1"/>
          </w:rPr>
          <m:t>=</m:t>
        </m:r>
        <m:r>
          <w:rPr>
            <w:rFonts w:ascii="Cambria Math" w:hAnsi="Cambria Math"/>
            <w:color w:val="000000" w:themeColor="text1"/>
          </w:rPr>
          <m:t>f</m:t>
        </m:r>
        <m:d>
          <m:dPr>
            <m:ctrlPr>
              <w:rPr>
                <w:rFonts w:ascii="Cambria Math" w:hAnsi="Cambria Math"/>
                <w:i/>
                <w:color w:val="000000" w:themeColor="text1"/>
              </w:rPr>
            </m:ctrlPr>
          </m:dPr>
          <m:e>
            <m:r>
              <w:rPr>
                <w:rFonts w:ascii="Cambria Math" w:hAnsi="Cambria Math"/>
                <w:color w:val="000000" w:themeColor="text1"/>
              </w:rPr>
              <m:t>ELC</m:t>
            </m:r>
            <m:r>
              <w:rPr>
                <w:rFonts w:ascii="Cambria Math"/>
                <w:color w:val="000000" w:themeColor="text1"/>
              </w:rPr>
              <m:t xml:space="preserve">, </m:t>
            </m:r>
            <m:r>
              <w:rPr>
                <w:rFonts w:ascii="Cambria Math" w:hAnsi="Cambria Math"/>
                <w:color w:val="000000" w:themeColor="text1"/>
              </w:rPr>
              <m:t>INP</m:t>
            </m:r>
            <m:r>
              <w:rPr>
                <w:rFonts w:ascii="Cambria Math"/>
                <w:color w:val="000000" w:themeColor="text1"/>
              </w:rPr>
              <m:t>,</m:t>
            </m:r>
            <m:r>
              <w:rPr>
                <w:rFonts w:ascii="Cambria Math" w:hAnsi="Cambria Math"/>
                <w:color w:val="000000" w:themeColor="text1"/>
              </w:rPr>
              <m:t>INF</m:t>
            </m:r>
            <m:r>
              <w:rPr>
                <w:rFonts w:ascii="Cambria Math"/>
                <w:color w:val="000000" w:themeColor="text1"/>
              </w:rPr>
              <m:t>,</m:t>
            </m:r>
            <m:r>
              <w:rPr>
                <w:rFonts w:ascii="Cambria Math" w:hAnsi="Cambria Math"/>
                <w:color w:val="000000" w:themeColor="text1"/>
              </w:rPr>
              <m:t>ENPL</m:t>
            </m:r>
          </m:e>
        </m:d>
        <m:r>
          <w:rPr>
            <w:rFonts w:ascii="Cambria Math" w:hAnsi="Cambria Math"/>
            <w:color w:val="000000" w:themeColor="text1"/>
          </w:rPr>
          <m:t>--------------</m:t>
        </m:r>
        <m:r>
          <w:rPr>
            <w:rFonts w:ascii="Cambria Math"/>
            <w:color w:val="000000" w:themeColor="text1"/>
          </w:rPr>
          <m:t>(2)</m:t>
        </m:r>
      </m:oMath>
      <w:r w:rsidRPr="00884FEC">
        <w:rPr>
          <w:color w:val="000000" w:themeColor="text1"/>
          <w:lang w:val="en-GB" w:eastAsia="en-GB"/>
        </w:rPr>
        <w:t>.</w:t>
      </w:r>
    </w:p>
    <w:p w:rsidR="00484E5E" w:rsidRPr="00884FEC" w:rsidRDefault="00484E5E" w:rsidP="005B55A3">
      <w:pPr>
        <w:pStyle w:val="Pa15"/>
        <w:spacing w:after="160" w:line="360" w:lineRule="auto"/>
        <w:jc w:val="both"/>
        <w:rPr>
          <w:color w:val="000000" w:themeColor="text1"/>
        </w:rPr>
      </w:pPr>
      <w:r w:rsidRPr="00884FEC">
        <w:rPr>
          <w:rStyle w:val="A8"/>
          <w:color w:val="000000" w:themeColor="text1"/>
          <w:sz w:val="24"/>
          <w:szCs w:val="24"/>
        </w:rPr>
        <w:t>Testing for stationarity of the series has become one of the popular tests. This is on account that undertaking unit root test to determine stationarity of variables helps prevent spurious results. The augmented Dickey Fuller (ADF) and Phillips-</w:t>
      </w:r>
      <w:proofErr w:type="spellStart"/>
      <w:r w:rsidRPr="00884FEC">
        <w:rPr>
          <w:rStyle w:val="A8"/>
          <w:color w:val="000000" w:themeColor="text1"/>
          <w:sz w:val="24"/>
          <w:szCs w:val="24"/>
        </w:rPr>
        <w:t>Perron</w:t>
      </w:r>
      <w:proofErr w:type="spellEnd"/>
      <w:r w:rsidRPr="00884FEC">
        <w:rPr>
          <w:rStyle w:val="A8"/>
          <w:color w:val="000000" w:themeColor="text1"/>
          <w:sz w:val="24"/>
          <w:szCs w:val="24"/>
        </w:rPr>
        <w:t xml:space="preserve"> (PP) unit root tests will be employed to test for stationary. </w:t>
      </w:r>
    </w:p>
    <w:p w:rsidR="00484E5E" w:rsidRPr="00884FEC" w:rsidRDefault="00484E5E" w:rsidP="005B55A3">
      <w:pPr>
        <w:spacing w:line="360" w:lineRule="auto"/>
        <w:jc w:val="both"/>
        <w:rPr>
          <w:rStyle w:val="Hyperlink"/>
          <w:color w:val="000000" w:themeColor="text1"/>
        </w:rPr>
      </w:pPr>
      <w:r w:rsidRPr="00884FEC">
        <w:rPr>
          <w:rStyle w:val="A8"/>
          <w:rFonts w:eastAsiaTheme="minorEastAsia"/>
          <w:color w:val="000000" w:themeColor="text1"/>
          <w:sz w:val="24"/>
          <w:szCs w:val="24"/>
        </w:rPr>
        <w:t>If the results from ADF and PP unit root test indicate that the variables are integrated of the same order, then co-integration test can be conducted. Co-integration means that one or more linear combinations of time series variables are stationary even though if they are non-stationary when they are not combined (</w:t>
      </w:r>
      <w:proofErr w:type="spellStart"/>
      <w:r w:rsidRPr="00884FEC">
        <w:rPr>
          <w:rStyle w:val="A8"/>
          <w:rFonts w:eastAsiaTheme="minorEastAsia"/>
          <w:color w:val="000000" w:themeColor="text1"/>
          <w:sz w:val="24"/>
          <w:szCs w:val="24"/>
        </w:rPr>
        <w:t>Ziramba</w:t>
      </w:r>
      <w:proofErr w:type="spellEnd"/>
      <w:r w:rsidRPr="00884FEC">
        <w:rPr>
          <w:rStyle w:val="A8"/>
          <w:rFonts w:eastAsiaTheme="minorEastAsia"/>
          <w:color w:val="000000" w:themeColor="text1"/>
          <w:sz w:val="24"/>
          <w:szCs w:val="24"/>
        </w:rPr>
        <w:t>, 2008). The study applied ARDL bounds test.</w:t>
      </w:r>
    </w:p>
    <w:p w:rsidR="00484E5E" w:rsidRPr="00884FEC" w:rsidRDefault="00484E5E" w:rsidP="005B55A3">
      <w:pPr>
        <w:spacing w:line="360" w:lineRule="auto"/>
        <w:jc w:val="both"/>
        <w:rPr>
          <w:rStyle w:val="A8"/>
          <w:rFonts w:eastAsiaTheme="minorEastAsia"/>
          <w:color w:val="000000" w:themeColor="text1"/>
          <w:sz w:val="24"/>
          <w:szCs w:val="24"/>
        </w:rPr>
      </w:pPr>
      <w:r w:rsidRPr="00884FEC">
        <w:rPr>
          <w:rStyle w:val="A8"/>
          <w:rFonts w:eastAsiaTheme="minorEastAsia"/>
          <w:color w:val="000000" w:themeColor="text1"/>
          <w:sz w:val="24"/>
          <w:szCs w:val="24"/>
        </w:rPr>
        <w:t>The application of ARDL bound test in investigating the long run relationship between the variables involves estimating an unrestricted error correction model (UECM) in first difference form (</w:t>
      </w:r>
      <w:proofErr w:type="spellStart"/>
      <w:r w:rsidRPr="00884FEC">
        <w:rPr>
          <w:rStyle w:val="A8"/>
          <w:rFonts w:eastAsiaTheme="minorEastAsia"/>
          <w:color w:val="000000" w:themeColor="text1"/>
          <w:sz w:val="24"/>
          <w:szCs w:val="24"/>
        </w:rPr>
        <w:t>Madhavan</w:t>
      </w:r>
      <w:proofErr w:type="spellEnd"/>
      <w:r w:rsidRPr="00884FEC">
        <w:rPr>
          <w:rStyle w:val="A8"/>
          <w:rFonts w:eastAsiaTheme="minorEastAsia"/>
          <w:color w:val="000000" w:themeColor="text1"/>
          <w:sz w:val="24"/>
          <w:szCs w:val="24"/>
        </w:rPr>
        <w:t xml:space="preserve"> et al</w:t>
      </w:r>
      <w:r w:rsidRPr="00884FEC">
        <w:rPr>
          <w:rStyle w:val="A8"/>
          <w:rFonts w:eastAsiaTheme="minorEastAsia"/>
          <w:i/>
          <w:iCs/>
          <w:color w:val="000000" w:themeColor="text1"/>
          <w:sz w:val="24"/>
          <w:szCs w:val="24"/>
        </w:rPr>
        <w:t xml:space="preserve">. </w:t>
      </w:r>
      <w:r w:rsidRPr="00884FEC">
        <w:rPr>
          <w:rStyle w:val="A8"/>
          <w:rFonts w:eastAsiaTheme="minorEastAsia"/>
          <w:color w:val="000000" w:themeColor="text1"/>
          <w:sz w:val="24"/>
          <w:szCs w:val="24"/>
        </w:rPr>
        <w:t>2010). The research applies the following UECMs:</w:t>
      </w:r>
    </w:p>
    <w:p w:rsidR="00484E5E" w:rsidRPr="00884FEC" w:rsidRDefault="00A632AF" w:rsidP="005B55A3">
      <w:pPr>
        <w:spacing w:line="360" w:lineRule="auto"/>
        <w:jc w:val="both"/>
        <w:rPr>
          <w:rFonts w:eastAsiaTheme="minorEastAsia"/>
          <w:color w:val="000000" w:themeColor="text1"/>
        </w:rPr>
      </w:pPr>
      <m:oMathPara>
        <m:oMath>
          <m:r>
            <w:rPr>
              <w:rFonts w:ascii="Cambria Math" w:hAnsi="Cambria Math"/>
              <w:color w:val="000000" w:themeColor="text1"/>
            </w:rPr>
            <m:t>RGDP</m:t>
          </m:r>
          <m:r>
            <w:rPr>
              <w:rFonts w:ascii="Cambria Math"/>
              <w:color w:val="000000" w:themeColor="text1"/>
            </w:rPr>
            <m:t>=</m:t>
          </m:r>
          <m:r>
            <w:rPr>
              <w:rFonts w:ascii="Cambria Math" w:hAnsi="Cambria Math"/>
              <w:color w:val="000000" w:themeColor="text1"/>
            </w:rPr>
            <m:t>f</m:t>
          </m:r>
          <m:r>
            <w:rPr>
              <w:rFonts w:ascii="Cambria Math"/>
              <w:color w:val="000000" w:themeColor="text1"/>
            </w:rPr>
            <m:t>(</m:t>
          </m:r>
          <m:r>
            <w:rPr>
              <w:rFonts w:ascii="Cambria Math" w:hAnsi="Cambria Math"/>
              <w:color w:val="000000" w:themeColor="text1"/>
            </w:rPr>
            <m:t>βo</m:t>
          </m:r>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color w:val="000000" w:themeColor="text1"/>
                </w:rPr>
                <m:t>1</m:t>
              </m:r>
            </m:sub>
          </m:sSub>
          <m:r>
            <w:rPr>
              <w:rFonts w:ascii="Cambria Math" w:hAnsi="Cambria Math"/>
              <w:color w:val="000000" w:themeColor="text1"/>
            </w:rPr>
            <m:t>ELCt</m:t>
          </m:r>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color w:val="000000" w:themeColor="text1"/>
                </w:rPr>
                <m:t>2</m:t>
              </m:r>
            </m:sub>
          </m:sSub>
          <m:r>
            <w:rPr>
              <w:rFonts w:ascii="Cambria Math" w:hAnsi="Cambria Math"/>
              <w:color w:val="000000" w:themeColor="text1"/>
            </w:rPr>
            <m:t>INPt</m:t>
          </m:r>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color w:val="000000" w:themeColor="text1"/>
                </w:rPr>
                <m:t>3</m:t>
              </m:r>
            </m:sub>
          </m:sSub>
          <m:r>
            <w:rPr>
              <w:rFonts w:ascii="Cambria Math" w:hAnsi="Cambria Math"/>
              <w:color w:val="000000" w:themeColor="text1"/>
            </w:rPr>
            <m:t>INFt</m:t>
          </m:r>
          <m:r>
            <w:rPr>
              <w:rFonts w:asci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color w:val="000000" w:themeColor="text1"/>
                </w:rPr>
                <m:t>4</m:t>
              </m:r>
            </m:sub>
          </m:sSub>
          <m:r>
            <w:rPr>
              <w:rFonts w:ascii="Cambria Math" w:hAnsi="Cambria Math"/>
              <w:color w:val="000000" w:themeColor="text1"/>
            </w:rPr>
            <m:t>UNPL</m:t>
          </m:r>
          <m:r>
            <w:rPr>
              <w:rFonts w:ascii="Cambria Math"/>
              <w:color w:val="000000" w:themeColor="text1"/>
            </w:rPr>
            <m:t xml:space="preserve">+ </m:t>
          </m:r>
          <m:r>
            <w:rPr>
              <w:rFonts w:ascii="Cambria Math" w:hAnsi="Cambria Math"/>
              <w:color w:val="000000" w:themeColor="text1"/>
            </w:rPr>
            <m:t>μt---------</m:t>
          </m:r>
          <m:r>
            <w:rPr>
              <w:rFonts w:ascii="Cambria Math"/>
              <w:color w:val="000000" w:themeColor="text1"/>
            </w:rPr>
            <m:t>(3)</m:t>
          </m:r>
        </m:oMath>
      </m:oMathPara>
    </w:p>
    <w:p w:rsidR="00484E5E" w:rsidRPr="00884FEC" w:rsidRDefault="00484E5E" w:rsidP="005B55A3">
      <w:pPr>
        <w:autoSpaceDE w:val="0"/>
        <w:autoSpaceDN w:val="0"/>
        <w:adjustRightInd w:val="0"/>
        <w:spacing w:line="360" w:lineRule="auto"/>
        <w:jc w:val="both"/>
        <w:rPr>
          <w:color w:val="000000" w:themeColor="text1"/>
        </w:rPr>
      </w:pPr>
      <w:r w:rsidRPr="00884FEC">
        <w:rPr>
          <w:color w:val="000000" w:themeColor="text1"/>
        </w:rPr>
        <w:t>The steps that will be used in the analysis of data are pre-estimation test and estimation test. The Augmented Dickey-Fuller (ADF) unit root tests have been carried out. The tests are based on the equations below:</w:t>
      </w:r>
    </w:p>
    <w:p w:rsidR="00484E5E" w:rsidRPr="00884FEC" w:rsidRDefault="00484E5E" w:rsidP="005B55A3">
      <w:pPr>
        <w:tabs>
          <w:tab w:val="left" w:pos="8640"/>
        </w:tabs>
        <w:spacing w:line="360" w:lineRule="auto"/>
        <w:jc w:val="both"/>
        <w:rPr>
          <w:color w:val="000000" w:themeColor="text1"/>
          <w:position w:val="-28"/>
        </w:rPr>
      </w:pPr>
      <w:r w:rsidRPr="00884FEC">
        <w:rPr>
          <w:noProof/>
          <w:color w:val="000000" w:themeColor="text1"/>
          <w:position w:val="-28"/>
        </w:rPr>
        <w:lastRenderedPageBreak/>
        <w:drawing>
          <wp:inline distT="0" distB="0" distL="0" distR="0">
            <wp:extent cx="2209800" cy="43815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2209800" cy="438150"/>
                    </a:xfrm>
                    <a:prstGeom prst="rect">
                      <a:avLst/>
                    </a:prstGeom>
                    <a:ln>
                      <a:noFill/>
                    </a:ln>
                  </pic:spPr>
                </pic:pic>
              </a:graphicData>
            </a:graphic>
          </wp:inline>
        </w:drawing>
      </w:r>
      <w:r w:rsidRPr="00884FEC">
        <w:rPr>
          <w:color w:val="000000" w:themeColor="text1"/>
        </w:rPr>
        <w:t xml:space="preserve"> _ _ _ _ </w:t>
      </w:r>
      <w:r w:rsidR="00A632AF" w:rsidRPr="00884FEC">
        <w:rPr>
          <w:color w:val="000000" w:themeColor="text1"/>
        </w:rPr>
        <w:t>_ _ _ _ _ _ _ _ _ _ _ _ _ _ _ (4</w:t>
      </w:r>
      <w:r w:rsidRPr="00884FEC">
        <w:rPr>
          <w:color w:val="000000" w:themeColor="text1"/>
        </w:rPr>
        <w:t>)</w:t>
      </w:r>
    </w:p>
    <w:p w:rsidR="00484E5E" w:rsidRPr="00884FEC" w:rsidRDefault="00484E5E" w:rsidP="005B55A3">
      <w:pPr>
        <w:tabs>
          <w:tab w:val="left" w:pos="8640"/>
        </w:tabs>
        <w:spacing w:line="360" w:lineRule="auto"/>
        <w:jc w:val="both"/>
        <w:rPr>
          <w:color w:val="000000" w:themeColor="text1"/>
          <w:position w:val="-28"/>
        </w:rPr>
      </w:pPr>
      <w:r w:rsidRPr="00884FEC">
        <w:rPr>
          <w:noProof/>
          <w:color w:val="000000" w:themeColor="text1"/>
          <w:position w:val="-28"/>
        </w:rPr>
        <w:drawing>
          <wp:inline distT="0" distB="0" distL="0" distR="0">
            <wp:extent cx="1990724" cy="43815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0" cstate="print"/>
                    <a:srcRect/>
                    <a:stretch/>
                  </pic:blipFill>
                  <pic:spPr>
                    <a:xfrm>
                      <a:off x="0" y="0"/>
                      <a:ext cx="1990724" cy="438150"/>
                    </a:xfrm>
                    <a:prstGeom prst="rect">
                      <a:avLst/>
                    </a:prstGeom>
                    <a:ln>
                      <a:noFill/>
                    </a:ln>
                  </pic:spPr>
                </pic:pic>
              </a:graphicData>
            </a:graphic>
          </wp:inline>
        </w:drawing>
      </w:r>
      <w:r w:rsidRPr="00884FEC">
        <w:rPr>
          <w:color w:val="000000" w:themeColor="text1"/>
        </w:rPr>
        <w:t xml:space="preserve">  _ _ _ _ _ _ </w:t>
      </w:r>
      <w:r w:rsidR="00A632AF" w:rsidRPr="00884FEC">
        <w:rPr>
          <w:color w:val="000000" w:themeColor="text1"/>
        </w:rPr>
        <w:t>_ _ _ _ _ _ _ _ _ _ _ _ _ _ _ (5</w:t>
      </w:r>
      <w:r w:rsidRPr="00884FEC">
        <w:rPr>
          <w:color w:val="000000" w:themeColor="text1"/>
        </w:rPr>
        <w:t>)</w:t>
      </w:r>
    </w:p>
    <w:p w:rsidR="00484E5E" w:rsidRPr="00884FEC" w:rsidRDefault="00484E5E" w:rsidP="005B55A3">
      <w:pPr>
        <w:tabs>
          <w:tab w:val="left" w:pos="8640"/>
        </w:tabs>
        <w:spacing w:line="360" w:lineRule="auto"/>
        <w:jc w:val="both"/>
        <w:rPr>
          <w:color w:val="000000" w:themeColor="text1"/>
          <w:position w:val="-28"/>
        </w:rPr>
      </w:pPr>
      <w:r w:rsidRPr="00884FEC">
        <w:rPr>
          <w:noProof/>
          <w:color w:val="000000" w:themeColor="text1"/>
          <w:position w:val="-28"/>
        </w:rPr>
        <w:drawing>
          <wp:inline distT="0" distB="0" distL="0" distR="0">
            <wp:extent cx="1762125" cy="43815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1" cstate="print"/>
                    <a:srcRect/>
                    <a:stretch/>
                  </pic:blipFill>
                  <pic:spPr>
                    <a:xfrm>
                      <a:off x="0" y="0"/>
                      <a:ext cx="1762125" cy="438150"/>
                    </a:xfrm>
                    <a:prstGeom prst="rect">
                      <a:avLst/>
                    </a:prstGeom>
                    <a:ln>
                      <a:noFill/>
                    </a:ln>
                  </pic:spPr>
                </pic:pic>
              </a:graphicData>
            </a:graphic>
          </wp:inline>
        </w:drawing>
      </w:r>
      <w:r w:rsidRPr="00884FEC">
        <w:rPr>
          <w:color w:val="000000" w:themeColor="text1"/>
        </w:rPr>
        <w:t xml:space="preserve">_ _ _ _ _ _ _ _ </w:t>
      </w:r>
      <w:r w:rsidR="00A632AF" w:rsidRPr="00884FEC">
        <w:rPr>
          <w:color w:val="000000" w:themeColor="text1"/>
        </w:rPr>
        <w:t>_ _ _ _ _ _ _ _ _ _ _ _ _ _ _ (6</w:t>
      </w:r>
      <w:r w:rsidRPr="00884FEC">
        <w:rPr>
          <w:color w:val="000000" w:themeColor="text1"/>
        </w:rPr>
        <w:t>)</w:t>
      </w:r>
    </w:p>
    <w:p w:rsidR="00484E5E" w:rsidRPr="00884FEC" w:rsidRDefault="00484E5E" w:rsidP="005B55A3">
      <w:pPr>
        <w:spacing w:line="360" w:lineRule="auto"/>
        <w:jc w:val="both"/>
        <w:rPr>
          <w:color w:val="000000" w:themeColor="text1"/>
        </w:rPr>
      </w:pPr>
      <w:r w:rsidRPr="00884FEC">
        <w:rPr>
          <w:color w:val="000000" w:themeColor="text1"/>
        </w:rPr>
        <w:t xml:space="preserve">The unit root presence is in each case tested based on the null hypothesis of a unit root, i.e. whether the parameter </w:t>
      </w:r>
      <w:r w:rsidRPr="00884FEC">
        <w:rPr>
          <w:noProof/>
          <w:color w:val="000000" w:themeColor="text1"/>
          <w:position w:val="-10"/>
        </w:rPr>
        <w:drawing>
          <wp:inline distT="0" distB="0" distL="0" distR="0">
            <wp:extent cx="152400" cy="152400"/>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2" cstate="print"/>
                    <a:srcRect/>
                    <a:stretch/>
                  </pic:blipFill>
                  <pic:spPr>
                    <a:xfrm>
                      <a:off x="0" y="0"/>
                      <a:ext cx="152400" cy="152400"/>
                    </a:xfrm>
                    <a:prstGeom prst="rect">
                      <a:avLst/>
                    </a:prstGeom>
                    <a:ln>
                      <a:noFill/>
                    </a:ln>
                  </pic:spPr>
                </pic:pic>
              </a:graphicData>
            </a:graphic>
          </wp:inline>
        </w:drawing>
      </w:r>
      <w:r w:rsidRPr="00884FEC">
        <w:rPr>
          <w:color w:val="000000" w:themeColor="text1"/>
        </w:rPr>
        <w:t xml:space="preserve">= 0 or otherwise in the three equations above. If </w:t>
      </w:r>
      <w:r w:rsidRPr="00884FEC">
        <w:rPr>
          <w:i/>
          <w:color w:val="000000" w:themeColor="text1"/>
        </w:rPr>
        <w:sym w:font="Symbol" w:char="F072"/>
      </w:r>
      <w:r w:rsidRPr="00884FEC">
        <w:rPr>
          <w:color w:val="000000" w:themeColor="text1"/>
        </w:rPr>
        <w:t xml:space="preserve"> equals zero, the series contains a unit root and if it is not, the series is referred </w:t>
      </w:r>
      <w:r w:rsidR="00A632AF" w:rsidRPr="00884FEC">
        <w:rPr>
          <w:color w:val="000000" w:themeColor="text1"/>
        </w:rPr>
        <w:t>to as stationary. In equation (4</w:t>
      </w:r>
      <w:r w:rsidRPr="00884FEC">
        <w:rPr>
          <w:color w:val="000000" w:themeColor="text1"/>
        </w:rPr>
        <w:t>) the ADF-test with both a constant and time</w:t>
      </w:r>
      <w:r w:rsidR="00A632AF" w:rsidRPr="00884FEC">
        <w:rPr>
          <w:color w:val="000000" w:themeColor="text1"/>
        </w:rPr>
        <w:t xml:space="preserve"> trend is specified. Equation (5</w:t>
      </w:r>
      <w:r w:rsidRPr="00884FEC">
        <w:rPr>
          <w:color w:val="000000" w:themeColor="text1"/>
        </w:rPr>
        <w:t>) specifies the ADF-test with a constant only an</w:t>
      </w:r>
      <w:r w:rsidR="00A632AF" w:rsidRPr="00884FEC">
        <w:rPr>
          <w:color w:val="000000" w:themeColor="text1"/>
        </w:rPr>
        <w:t>d no time trend, and equation (6</w:t>
      </w:r>
      <w:r w:rsidRPr="00884FEC">
        <w:rPr>
          <w:color w:val="000000" w:themeColor="text1"/>
        </w:rPr>
        <w:t>) specifies the ADF-test with no constant and no time trend respectively. Hence, the set of hypothes</w:t>
      </w:r>
      <w:r w:rsidR="00A632AF" w:rsidRPr="00884FEC">
        <w:rPr>
          <w:color w:val="000000" w:themeColor="text1"/>
        </w:rPr>
        <w:t>es corresponding to equations (4) to (6</w:t>
      </w:r>
      <w:r w:rsidRPr="00884FEC">
        <w:rPr>
          <w:color w:val="000000" w:themeColor="text1"/>
        </w:rPr>
        <w:t xml:space="preserve">) to be tested are: </w:t>
      </w:r>
    </w:p>
    <w:p w:rsidR="00484E5E" w:rsidRPr="00884FEC" w:rsidRDefault="00484E5E" w:rsidP="005B55A3">
      <w:pPr>
        <w:spacing w:line="360" w:lineRule="auto"/>
        <w:jc w:val="both"/>
        <w:rPr>
          <w:color w:val="000000" w:themeColor="text1"/>
        </w:rPr>
      </w:pPr>
      <w:r w:rsidRPr="00884FEC">
        <w:rPr>
          <w:noProof/>
          <w:color w:val="000000" w:themeColor="text1"/>
          <w:position w:val="-12"/>
        </w:rPr>
        <w:drawing>
          <wp:inline distT="0" distB="0" distL="0" distR="0">
            <wp:extent cx="933450" cy="238124"/>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3" cstate="print"/>
                    <a:srcRect/>
                    <a:stretch/>
                  </pic:blipFill>
                  <pic:spPr>
                    <a:xfrm>
                      <a:off x="0" y="0"/>
                      <a:ext cx="933450" cy="238124"/>
                    </a:xfrm>
                    <a:prstGeom prst="rect">
                      <a:avLst/>
                    </a:prstGeom>
                    <a:ln>
                      <a:noFill/>
                    </a:ln>
                  </pic:spPr>
                </pic:pic>
              </a:graphicData>
            </a:graphic>
          </wp:inline>
        </w:drawing>
      </w:r>
      <w:r w:rsidRPr="00884FEC">
        <w:rPr>
          <w:color w:val="000000" w:themeColor="text1"/>
        </w:rPr>
        <w:t xml:space="preserve"> (The series has a unit root with no time trend.)</w:t>
      </w:r>
    </w:p>
    <w:p w:rsidR="00484E5E" w:rsidRPr="00884FEC" w:rsidRDefault="00484E5E" w:rsidP="005B55A3">
      <w:pPr>
        <w:spacing w:line="360" w:lineRule="auto"/>
        <w:jc w:val="both"/>
        <w:rPr>
          <w:color w:val="000000" w:themeColor="text1"/>
        </w:rPr>
      </w:pPr>
      <w:r w:rsidRPr="00884FEC">
        <w:rPr>
          <w:noProof/>
          <w:color w:val="000000" w:themeColor="text1"/>
          <w:position w:val="-10"/>
        </w:rPr>
        <w:drawing>
          <wp:inline distT="0" distB="0" distL="0" distR="0">
            <wp:extent cx="628650" cy="190500"/>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4" cstate="print"/>
                    <a:srcRect/>
                    <a:stretch/>
                  </pic:blipFill>
                  <pic:spPr>
                    <a:xfrm>
                      <a:off x="0" y="0"/>
                      <a:ext cx="628650" cy="190500"/>
                    </a:xfrm>
                    <a:prstGeom prst="rect">
                      <a:avLst/>
                    </a:prstGeom>
                    <a:ln>
                      <a:noFill/>
                    </a:ln>
                  </pic:spPr>
                </pic:pic>
              </a:graphicData>
            </a:graphic>
          </wp:inline>
        </w:drawing>
      </w:r>
      <w:r w:rsidRPr="00884FEC">
        <w:rPr>
          <w:color w:val="000000" w:themeColor="text1"/>
        </w:rPr>
        <w:t xml:space="preserve">; </w:t>
      </w:r>
      <w:r w:rsidRPr="00884FEC">
        <w:rPr>
          <w:noProof/>
          <w:color w:val="000000" w:themeColor="text1"/>
          <w:position w:val="-10"/>
        </w:rPr>
        <w:drawing>
          <wp:inline distT="0" distB="0" distL="0" distR="0">
            <wp:extent cx="400050" cy="190500"/>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5" cstate="print"/>
                    <a:srcRect/>
                    <a:stretch/>
                  </pic:blipFill>
                  <pic:spPr>
                    <a:xfrm>
                      <a:off x="0" y="0"/>
                      <a:ext cx="400050" cy="190500"/>
                    </a:xfrm>
                    <a:prstGeom prst="rect">
                      <a:avLst/>
                    </a:prstGeom>
                    <a:ln>
                      <a:noFill/>
                    </a:ln>
                  </pic:spPr>
                </pic:pic>
              </a:graphicData>
            </a:graphic>
          </wp:inline>
        </w:drawing>
      </w:r>
      <w:r w:rsidRPr="00884FEC">
        <w:rPr>
          <w:color w:val="000000" w:themeColor="text1"/>
        </w:rPr>
        <w:t xml:space="preserve"> (The series is stationary with a deterministic trend.)</w:t>
      </w:r>
    </w:p>
    <w:p w:rsidR="00484E5E" w:rsidRPr="00884FEC" w:rsidRDefault="00484E5E" w:rsidP="005B55A3">
      <w:pPr>
        <w:spacing w:line="360" w:lineRule="auto"/>
        <w:jc w:val="both"/>
        <w:rPr>
          <w:color w:val="000000" w:themeColor="text1"/>
        </w:rPr>
      </w:pPr>
      <w:r w:rsidRPr="00884FEC">
        <w:rPr>
          <w:noProof/>
          <w:color w:val="000000" w:themeColor="text1"/>
          <w:position w:val="-12"/>
        </w:rPr>
        <w:drawing>
          <wp:inline distT="0" distB="0" distL="0" distR="0">
            <wp:extent cx="933450" cy="238124"/>
            <wp:effectExtent l="0" t="0" r="0" b="0"/>
            <wp:docPr id="103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6" cstate="print"/>
                    <a:srcRect/>
                    <a:stretch/>
                  </pic:blipFill>
                  <pic:spPr>
                    <a:xfrm>
                      <a:off x="0" y="0"/>
                      <a:ext cx="933450" cy="238124"/>
                    </a:xfrm>
                    <a:prstGeom prst="rect">
                      <a:avLst/>
                    </a:prstGeom>
                    <a:ln>
                      <a:noFill/>
                    </a:ln>
                  </pic:spPr>
                </pic:pic>
              </a:graphicData>
            </a:graphic>
          </wp:inline>
        </w:drawing>
      </w:r>
      <w:r w:rsidRPr="00884FEC">
        <w:rPr>
          <w:color w:val="000000" w:themeColor="text1"/>
        </w:rPr>
        <w:t xml:space="preserve"> (The series has a unit root with no constant and no time trend.)</w:t>
      </w:r>
    </w:p>
    <w:p w:rsidR="00484E5E" w:rsidRPr="00884FEC" w:rsidRDefault="00484E5E" w:rsidP="005B55A3">
      <w:pPr>
        <w:spacing w:line="360" w:lineRule="auto"/>
        <w:jc w:val="both"/>
        <w:rPr>
          <w:color w:val="000000" w:themeColor="text1"/>
        </w:rPr>
      </w:pPr>
      <w:r w:rsidRPr="00884FEC">
        <w:rPr>
          <w:noProof/>
          <w:color w:val="000000" w:themeColor="text1"/>
          <w:position w:val="-10"/>
        </w:rPr>
        <w:drawing>
          <wp:inline distT="0" distB="0" distL="0" distR="0">
            <wp:extent cx="676275" cy="190500"/>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7" cstate="print"/>
                    <a:srcRect/>
                    <a:stretch/>
                  </pic:blipFill>
                  <pic:spPr>
                    <a:xfrm>
                      <a:off x="0" y="0"/>
                      <a:ext cx="676275" cy="190500"/>
                    </a:xfrm>
                    <a:prstGeom prst="rect">
                      <a:avLst/>
                    </a:prstGeom>
                    <a:ln>
                      <a:noFill/>
                    </a:ln>
                  </pic:spPr>
                </pic:pic>
              </a:graphicData>
            </a:graphic>
          </wp:inline>
        </w:drawing>
      </w:r>
      <w:r w:rsidRPr="00884FEC">
        <w:rPr>
          <w:color w:val="000000" w:themeColor="text1"/>
        </w:rPr>
        <w:t xml:space="preserve">, </w:t>
      </w:r>
      <w:r w:rsidRPr="00884FEC">
        <w:rPr>
          <w:noProof/>
          <w:color w:val="000000" w:themeColor="text1"/>
          <w:position w:val="-10"/>
        </w:rPr>
        <w:drawing>
          <wp:inline distT="0" distB="0" distL="0" distR="0">
            <wp:extent cx="400050" cy="190500"/>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a:blip r:embed="rId18" cstate="print"/>
                    <a:srcRect/>
                    <a:stretch/>
                  </pic:blipFill>
                  <pic:spPr>
                    <a:xfrm>
                      <a:off x="0" y="0"/>
                      <a:ext cx="400050" cy="190500"/>
                    </a:xfrm>
                    <a:prstGeom prst="rect">
                      <a:avLst/>
                    </a:prstGeom>
                    <a:ln>
                      <a:noFill/>
                    </a:ln>
                  </pic:spPr>
                </pic:pic>
              </a:graphicData>
            </a:graphic>
          </wp:inline>
        </w:drawing>
      </w:r>
      <w:r w:rsidRPr="00884FEC">
        <w:rPr>
          <w:color w:val="000000" w:themeColor="text1"/>
        </w:rPr>
        <w:t xml:space="preserve"> (The series is stationary with a non-zero mean.)</w:t>
      </w:r>
    </w:p>
    <w:p w:rsidR="00484E5E" w:rsidRPr="00884FEC" w:rsidRDefault="00484E5E" w:rsidP="005B55A3">
      <w:pPr>
        <w:spacing w:line="360" w:lineRule="auto"/>
        <w:jc w:val="both"/>
        <w:rPr>
          <w:color w:val="000000" w:themeColor="text1"/>
          <w:vertAlign w:val="subscript"/>
        </w:rPr>
      </w:pPr>
      <w:r w:rsidRPr="00884FEC">
        <w:rPr>
          <w:noProof/>
          <w:color w:val="000000" w:themeColor="text1"/>
          <w:position w:val="-12"/>
        </w:rPr>
        <w:drawing>
          <wp:inline distT="0" distB="0" distL="0" distR="0">
            <wp:extent cx="723900" cy="238124"/>
            <wp:effectExtent l="0" t="0" r="0" b="0"/>
            <wp:docPr id="103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9" cstate="print"/>
                    <a:srcRect/>
                    <a:stretch/>
                  </pic:blipFill>
                  <pic:spPr>
                    <a:xfrm>
                      <a:off x="0" y="0"/>
                      <a:ext cx="723900" cy="238124"/>
                    </a:xfrm>
                    <a:prstGeom prst="rect">
                      <a:avLst/>
                    </a:prstGeom>
                    <a:ln>
                      <a:noFill/>
                    </a:ln>
                  </pic:spPr>
                </pic:pic>
              </a:graphicData>
            </a:graphic>
          </wp:inline>
        </w:drawing>
      </w:r>
      <w:r w:rsidRPr="00884FEC">
        <w:rPr>
          <w:color w:val="000000" w:themeColor="text1"/>
        </w:rPr>
        <w:t xml:space="preserve"> (The series has a unit root.) </w:t>
      </w:r>
    </w:p>
    <w:p w:rsidR="00484E5E" w:rsidRPr="00884FEC" w:rsidRDefault="00484E5E" w:rsidP="005B55A3">
      <w:pPr>
        <w:spacing w:line="360" w:lineRule="auto"/>
        <w:jc w:val="both"/>
        <w:rPr>
          <w:color w:val="000000" w:themeColor="text1"/>
        </w:rPr>
      </w:pPr>
      <w:r w:rsidRPr="00884FEC">
        <w:rPr>
          <w:noProof/>
          <w:color w:val="000000" w:themeColor="text1"/>
          <w:position w:val="-10"/>
        </w:rPr>
        <w:drawing>
          <wp:inline distT="0" distB="0" distL="0" distR="0">
            <wp:extent cx="628650" cy="190500"/>
            <wp:effectExtent l="0" t="0" r="0" b="0"/>
            <wp:docPr id="103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20" cstate="print"/>
                    <a:srcRect/>
                    <a:stretch/>
                  </pic:blipFill>
                  <pic:spPr>
                    <a:xfrm>
                      <a:off x="0" y="0"/>
                      <a:ext cx="628650" cy="190500"/>
                    </a:xfrm>
                    <a:prstGeom prst="rect">
                      <a:avLst/>
                    </a:prstGeom>
                    <a:ln>
                      <a:noFill/>
                    </a:ln>
                  </pic:spPr>
                </pic:pic>
              </a:graphicData>
            </a:graphic>
          </wp:inline>
        </w:drawing>
      </w:r>
      <w:r w:rsidRPr="00884FEC">
        <w:rPr>
          <w:color w:val="000000" w:themeColor="text1"/>
        </w:rPr>
        <w:t xml:space="preserve"> (The series is stationary with a zero mean and no time trend).</w:t>
      </w:r>
    </w:p>
    <w:p w:rsidR="00484E5E" w:rsidRPr="00884FEC" w:rsidRDefault="00484E5E" w:rsidP="005B55A3">
      <w:pPr>
        <w:spacing w:line="360" w:lineRule="auto"/>
        <w:jc w:val="both"/>
        <w:rPr>
          <w:color w:val="000000" w:themeColor="text1"/>
        </w:rPr>
      </w:pPr>
      <w:r w:rsidRPr="00884FEC">
        <w:rPr>
          <w:color w:val="000000" w:themeColor="text1"/>
        </w:rPr>
        <w:t xml:space="preserve">The test regression for the Phillips and </w:t>
      </w:r>
      <w:proofErr w:type="spellStart"/>
      <w:r w:rsidRPr="00884FEC">
        <w:rPr>
          <w:color w:val="000000" w:themeColor="text1"/>
        </w:rPr>
        <w:t>Perron</w:t>
      </w:r>
      <w:proofErr w:type="spellEnd"/>
      <w:r w:rsidRPr="00884FEC">
        <w:rPr>
          <w:color w:val="000000" w:themeColor="text1"/>
        </w:rPr>
        <w:t xml:space="preserve"> Unit Root Test PP tests is:</w:t>
      </w:r>
    </w:p>
    <w:p w:rsidR="00484E5E" w:rsidRPr="00884FEC" w:rsidRDefault="004207A4" w:rsidP="005B55A3">
      <w:pPr>
        <w:spacing w:line="360" w:lineRule="auto"/>
        <w:jc w:val="both"/>
        <w:rPr>
          <w:b/>
          <w:color w:val="000000" w:themeColor="text1"/>
        </w:rPr>
      </w:pPr>
      <m:oMath>
        <m:sSub>
          <m:sSubPr>
            <m:ctrlPr>
              <w:rPr>
                <w:rFonts w:ascii="Cambria Math" w:hAnsi="Cambria Math"/>
                <w:i/>
                <w:color w:val="000000" w:themeColor="text1"/>
              </w:rPr>
            </m:ctrlPr>
          </m:sSubPr>
          <m:e>
            <m:r>
              <w:rPr>
                <w:rFonts w:ascii="Cambria Math" w:hAnsi="Cambria Math"/>
                <w:color w:val="000000" w:themeColor="text1"/>
                <w:lang w:val="en-MY"/>
              </w:rPr>
              <m:t>у</m:t>
            </m:r>
          </m:e>
          <m:sub>
            <m:r>
              <w:rPr>
                <w:rFonts w:ascii="Cambria Math" w:hAnsi="Cambria Math"/>
                <w:color w:val="000000" w:themeColor="text1"/>
                <w:lang w:val="en-MY"/>
              </w:rPr>
              <m:t>t</m:t>
            </m:r>
          </m:sub>
        </m:sSub>
        <m:r>
          <w:rPr>
            <w:rFonts w:ascii="Cambria Math"/>
            <w:color w:val="000000" w:themeColor="text1"/>
            <w:lang w:val="en-MY"/>
          </w:rPr>
          <m:t>=</m:t>
        </m:r>
        <m:sSub>
          <m:sSubPr>
            <m:ctrlPr>
              <w:rPr>
                <w:rFonts w:ascii="Cambria Math" w:hAnsi="Cambria Math"/>
                <w:i/>
                <w:color w:val="000000" w:themeColor="text1"/>
              </w:rPr>
            </m:ctrlPr>
          </m:sSubPr>
          <m:e>
            <m:r>
              <w:rPr>
                <w:rFonts w:ascii="Cambria Math" w:hAnsi="Cambria Math"/>
                <w:color w:val="000000" w:themeColor="text1"/>
                <w:lang w:val="en-MY"/>
              </w:rPr>
              <m:t>α</m:t>
            </m:r>
          </m:e>
          <m:sub>
            <m:r>
              <w:rPr>
                <w:rFonts w:ascii="Cambria Math"/>
                <w:color w:val="000000" w:themeColor="text1"/>
                <w:lang w:val="en-MY"/>
              </w:rPr>
              <m:t>0</m:t>
            </m:r>
          </m:sub>
        </m:sSub>
        <m:r>
          <w:rPr>
            <w:rFonts w:ascii="Cambria Math"/>
            <w:color w:val="000000" w:themeColor="text1"/>
            <w:lang w:val="en-MY"/>
          </w:rPr>
          <m:t>+</m:t>
        </m:r>
        <m:sSub>
          <m:sSubPr>
            <m:ctrlPr>
              <w:rPr>
                <w:rFonts w:ascii="Cambria Math" w:hAnsi="Cambria Math"/>
                <w:i/>
                <w:color w:val="000000" w:themeColor="text1"/>
              </w:rPr>
            </m:ctrlPr>
          </m:sSubPr>
          <m:e>
            <m:r>
              <w:rPr>
                <w:rFonts w:ascii="Cambria Math" w:hAnsi="Cambria Math"/>
                <w:color w:val="000000" w:themeColor="text1"/>
                <w:lang w:val="en-MY"/>
              </w:rPr>
              <m:t>α</m:t>
            </m:r>
          </m:e>
          <m:sub>
            <m:r>
              <w:rPr>
                <w:rFonts w:ascii="Cambria Math"/>
                <w:color w:val="000000" w:themeColor="text1"/>
                <w:lang w:val="en-MY"/>
              </w:rPr>
              <m:t>1</m:t>
            </m:r>
          </m:sub>
        </m:sSub>
        <m:sSub>
          <m:sSubPr>
            <m:ctrlPr>
              <w:rPr>
                <w:rFonts w:ascii="Cambria Math" w:hAnsi="Cambria Math"/>
                <w:i/>
                <w:color w:val="000000" w:themeColor="text1"/>
              </w:rPr>
            </m:ctrlPr>
          </m:sSubPr>
          <m:e>
            <m:r>
              <w:rPr>
                <w:rFonts w:ascii="Cambria Math" w:hAnsi="Cambria Math"/>
                <w:color w:val="000000" w:themeColor="text1"/>
                <w:lang w:val="en-MY"/>
              </w:rPr>
              <m:t>y</m:t>
            </m:r>
          </m:e>
          <m:sub>
            <m:r>
              <w:rPr>
                <w:rFonts w:ascii="Cambria Math" w:hAnsi="Cambria Math"/>
                <w:color w:val="000000" w:themeColor="text1"/>
                <w:lang w:val="en-MY"/>
              </w:rPr>
              <m:t>t-</m:t>
            </m:r>
            <m:r>
              <w:rPr>
                <w:rFonts w:ascii="Cambria Math"/>
                <w:color w:val="000000" w:themeColor="text1"/>
                <w:lang w:val="en-MY"/>
              </w:rPr>
              <m:t>1</m:t>
            </m:r>
          </m:sub>
        </m:sSub>
        <m:r>
          <w:rPr>
            <w:rFonts w:ascii="Cambria Math"/>
            <w:color w:val="000000" w:themeColor="text1"/>
            <w:lang w:val="en-MY"/>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color w:val="000000" w:themeColor="text1"/>
                <w:lang w:val="en-MY"/>
              </w:rPr>
              <m:t>2</m:t>
            </m:r>
          </m:sub>
        </m:sSub>
        <m:r>
          <w:rPr>
            <w:rFonts w:ascii="Cambria Math"/>
            <w:color w:val="000000" w:themeColor="text1"/>
          </w:rPr>
          <m:t xml:space="preserve"> (</m:t>
        </m:r>
        <m:r>
          <w:rPr>
            <w:rFonts w:ascii="Cambria Math" w:hAnsi="Cambria Math"/>
            <w:color w:val="000000" w:themeColor="text1"/>
          </w:rPr>
          <m:t>t</m:t>
        </m:r>
        <m:r>
          <w:rPr>
            <w:rFonts w:ascii="Cambria Math" w:hAnsi="Cambria Math"/>
            <w:color w:val="000000" w:themeColor="text1"/>
            <w:lang w:val="en-MY"/>
          </w:rPr>
          <m:t>-</m:t>
        </m:r>
        <m:f>
          <m:fPr>
            <m:ctrlPr>
              <w:rPr>
                <w:rFonts w:ascii="Cambria Math" w:hAnsi="Cambria Math"/>
                <w:i/>
                <w:color w:val="000000" w:themeColor="text1"/>
                <w:lang w:val="en-MY"/>
              </w:rPr>
            </m:ctrlPr>
          </m:fPr>
          <m:num>
            <m:r>
              <w:rPr>
                <w:rFonts w:ascii="Cambria Math" w:hAnsi="Cambria Math"/>
                <w:color w:val="000000" w:themeColor="text1"/>
                <w:lang w:val="en-MY"/>
              </w:rPr>
              <m:t>T</m:t>
            </m:r>
          </m:num>
          <m:den>
            <m:r>
              <w:rPr>
                <w:rFonts w:ascii="Cambria Math"/>
                <w:color w:val="000000" w:themeColor="text1"/>
                <w:lang w:val="en-MY"/>
              </w:rPr>
              <m:t>2</m:t>
            </m:r>
          </m:den>
        </m:f>
        <m:sSub>
          <m:sSubPr>
            <m:ctrlPr>
              <w:rPr>
                <w:rFonts w:ascii="Cambria Math" w:hAnsi="Cambria Math"/>
                <w:i/>
                <w:color w:val="000000" w:themeColor="text1"/>
              </w:rPr>
            </m:ctrlPr>
          </m:sSubPr>
          <m:e>
            <m:r>
              <w:rPr>
                <w:rFonts w:ascii="Cambria Math"/>
                <w:color w:val="000000" w:themeColor="text1"/>
              </w:rPr>
              <m:t>)</m:t>
            </m:r>
            <m:r>
              <w:rPr>
                <w:rFonts w:ascii="Cambria Math"/>
                <w:color w:val="000000" w:themeColor="text1"/>
                <w:lang w:val="en-MY"/>
              </w:rPr>
              <m:t>+</m:t>
            </m:r>
            <m:r>
              <w:rPr>
                <w:rFonts w:ascii="Cambria Math" w:hAnsi="Cambria Math"/>
                <w:color w:val="000000" w:themeColor="text1"/>
                <w:lang w:val="en-MY"/>
              </w:rPr>
              <m:t>μ</m:t>
            </m:r>
          </m:e>
          <m:sub>
            <m:r>
              <w:rPr>
                <w:rFonts w:ascii="Cambria Math" w:hAnsi="Cambria Math"/>
                <w:color w:val="000000" w:themeColor="text1"/>
                <w:lang w:val="en-MY"/>
              </w:rPr>
              <m:t>t</m:t>
            </m:r>
          </m:sub>
        </m:sSub>
      </m:oMath>
      <w:r w:rsidR="00484E5E" w:rsidRPr="00884FEC">
        <w:rPr>
          <w:rFonts w:eastAsiaTheme="minorEastAsia"/>
          <w:color w:val="000000" w:themeColor="text1"/>
        </w:rPr>
        <w:t xml:space="preserve">  _ _ </w:t>
      </w:r>
      <w:r w:rsidR="00A632AF" w:rsidRPr="00884FEC">
        <w:rPr>
          <w:rFonts w:eastAsiaTheme="minorEastAsia"/>
          <w:color w:val="000000" w:themeColor="text1"/>
        </w:rPr>
        <w:t>_ _ _ _ _ _ _ _ _ _ _ _ _ _ _ (7</w:t>
      </w:r>
      <w:r w:rsidR="00484E5E" w:rsidRPr="00884FEC">
        <w:rPr>
          <w:rFonts w:eastAsiaTheme="minorEastAsia"/>
          <w:color w:val="000000" w:themeColor="text1"/>
        </w:rPr>
        <w:t>)</w:t>
      </w:r>
    </w:p>
    <w:p w:rsidR="00484E5E" w:rsidRPr="00884FEC" w:rsidRDefault="00484E5E" w:rsidP="005B55A3">
      <w:pPr>
        <w:spacing w:line="360" w:lineRule="auto"/>
        <w:jc w:val="both"/>
        <w:rPr>
          <w:color w:val="000000" w:themeColor="text1"/>
        </w:rPr>
      </w:pPr>
      <w:r w:rsidRPr="00884FEC">
        <w:rPr>
          <w:color w:val="000000" w:themeColor="text1"/>
        </w:rPr>
        <w:t xml:space="preserve">Where </w:t>
      </w:r>
      <m:oMath>
        <m:sSub>
          <m:sSubPr>
            <m:ctrlPr>
              <w:rPr>
                <w:rFonts w:ascii="Cambria Math" w:hAnsi="Cambria Math"/>
                <w:b/>
                <w:bCs/>
                <w:i/>
                <w:color w:val="000000" w:themeColor="text1"/>
              </w:rPr>
            </m:ctrlPr>
          </m:sSubPr>
          <m:e>
            <m:r>
              <m:rPr>
                <m:sty m:val="bi"/>
              </m:rPr>
              <w:rPr>
                <w:rFonts w:ascii="Cambria Math" w:hAnsi="Cambria Math"/>
                <w:color w:val="000000" w:themeColor="text1"/>
              </w:rPr>
              <m:t>u</m:t>
            </m:r>
          </m:e>
          <m:sub>
            <m:r>
              <m:rPr>
                <m:sty m:val="bi"/>
              </m:rPr>
              <w:rPr>
                <w:rFonts w:ascii="Cambria Math" w:hAnsi="Cambria Math"/>
                <w:color w:val="000000" w:themeColor="text1"/>
              </w:rPr>
              <m:t>t</m:t>
            </m:r>
          </m:sub>
        </m:sSub>
      </m:oMath>
      <w:r w:rsidRPr="00884FEC">
        <w:rPr>
          <w:color w:val="000000" w:themeColor="text1"/>
        </w:rPr>
        <w:t xml:space="preserve">  is I (0) and may be heteroskedastic. The PP tests correct for any serial correlation and heteroskedasticity in the errors </w:t>
      </w:r>
      <m:oMath>
        <m:sSub>
          <m:sSubPr>
            <m:ctrlPr>
              <w:rPr>
                <w:rFonts w:ascii="Cambria Math" w:hAnsi="Cambria Math"/>
                <w:b/>
                <w:bCs/>
                <w:i/>
                <w:color w:val="000000" w:themeColor="text1"/>
              </w:rPr>
            </m:ctrlPr>
          </m:sSubPr>
          <m:e>
            <m:r>
              <m:rPr>
                <m:sty m:val="bi"/>
              </m:rPr>
              <w:rPr>
                <w:rFonts w:ascii="Cambria Math" w:hAnsi="Cambria Math"/>
                <w:color w:val="000000" w:themeColor="text1"/>
              </w:rPr>
              <m:t>u</m:t>
            </m:r>
          </m:e>
          <m:sub>
            <m:r>
              <m:rPr>
                <m:sty m:val="bi"/>
              </m:rPr>
              <w:rPr>
                <w:rFonts w:ascii="Cambria Math" w:hAnsi="Cambria Math"/>
                <w:color w:val="000000" w:themeColor="text1"/>
              </w:rPr>
              <m:t>t</m:t>
            </m:r>
          </m:sub>
        </m:sSub>
      </m:oMath>
      <w:r w:rsidRPr="00884FEC">
        <w:rPr>
          <w:color w:val="000000" w:themeColor="text1"/>
        </w:rPr>
        <w:t xml:space="preserve">  of the test regression by directly modifying the test statistics tπ=0 and Tπˆ.</w:t>
      </w:r>
    </w:p>
    <w:p w:rsidR="00A632AF" w:rsidRPr="00884FEC" w:rsidRDefault="00A632AF" w:rsidP="00432008">
      <w:pPr>
        <w:spacing w:line="360" w:lineRule="auto"/>
        <w:jc w:val="both"/>
        <w:rPr>
          <w:color w:val="000000" w:themeColor="text1"/>
        </w:rPr>
      </w:pPr>
      <w:r w:rsidRPr="00884FEC">
        <w:rPr>
          <w:color w:val="000000" w:themeColor="text1"/>
        </w:rPr>
        <w:t xml:space="preserve">Furthermore, to capture the relationship between electricity consumption </w:t>
      </w:r>
      <w:r w:rsidRPr="00884FEC">
        <w:rPr>
          <w:bCs/>
          <w:color w:val="000000" w:themeColor="text1"/>
        </w:rPr>
        <w:t xml:space="preserve">and economic growth in </w:t>
      </w:r>
      <w:r w:rsidRPr="00884FEC">
        <w:rPr>
          <w:color w:val="000000" w:themeColor="text1"/>
        </w:rPr>
        <w:t xml:space="preserve">Nigeria, the study employed ARDL model otherwise known as Bound test to investigate the impact of electricity consumption </w:t>
      </w:r>
      <w:r w:rsidRPr="00884FEC">
        <w:rPr>
          <w:bCs/>
          <w:color w:val="000000" w:themeColor="text1"/>
        </w:rPr>
        <w:t xml:space="preserve">on economic growth in Nigeria. </w:t>
      </w:r>
      <w:r w:rsidRPr="00884FEC">
        <w:rPr>
          <w:color w:val="000000" w:themeColor="text1"/>
        </w:rPr>
        <w:t xml:space="preserve">The a-priori expectations for the variables under study are: </w:t>
      </w:r>
    </w:p>
    <w:p w:rsidR="00A632AF" w:rsidRPr="00884FEC" w:rsidRDefault="004207A4" w:rsidP="00432008">
      <w:pPr>
        <w:spacing w:line="360" w:lineRule="auto"/>
        <w:jc w:val="both"/>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color w:val="000000" w:themeColor="text1"/>
              </w:rPr>
              <m:t>1</m:t>
            </m:r>
          </m:sub>
        </m:sSub>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color w:val="000000" w:themeColor="text1"/>
              </w:rPr>
              <m:t>2</m:t>
            </m:r>
          </m:sub>
        </m:sSub>
        <m:r>
          <w:rPr>
            <w:rFonts w:ascii="Cambria Math" w:hAnsi="Cambria Math"/>
            <w:color w:val="000000" w:themeColor="text1"/>
          </w:rPr>
          <m:t>and</m:t>
        </m:r>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color w:val="000000" w:themeColor="text1"/>
              </w:rPr>
              <m:t>3</m:t>
            </m:r>
          </m:sub>
        </m:sSub>
      </m:oMath>
      <w:r w:rsidR="00A632AF" w:rsidRPr="00884FEC">
        <w:rPr>
          <w:color w:val="000000" w:themeColor="text1"/>
        </w:rPr>
        <w:t xml:space="preserve"> are positive (&gt;0) while</w:t>
      </w:r>
      <m:oMath>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color w:val="000000" w:themeColor="text1"/>
              </w:rPr>
              <m:t>4</m:t>
            </m:r>
          </m:sub>
        </m:sSub>
        <m:r>
          <w:rPr>
            <w:rFonts w:ascii="Cambria Math"/>
            <w:color w:val="000000" w:themeColor="text1"/>
          </w:rPr>
          <m:t>is</m:t>
        </m:r>
        <m:r>
          <w:rPr>
            <w:rFonts w:ascii="Cambria Math" w:hAnsi="Cambria Math"/>
            <w:color w:val="000000" w:themeColor="text1"/>
          </w:rPr>
          <m:t>negative</m:t>
        </m:r>
        <m:r>
          <w:rPr>
            <w:rFonts w:ascii="Cambria Math"/>
            <w:color w:val="000000" w:themeColor="text1"/>
          </w:rPr>
          <m:t xml:space="preserve"> (</m:t>
        </m:r>
      </m:oMath>
      <w:r w:rsidR="00A632AF" w:rsidRPr="00884FEC">
        <w:rPr>
          <w:color w:val="000000" w:themeColor="text1"/>
        </w:rPr>
        <w:t>&lt;0)</w:t>
      </w:r>
    </w:p>
    <w:p w:rsidR="00A632AF" w:rsidRPr="00884FEC" w:rsidRDefault="00A632AF" w:rsidP="00432008">
      <w:pPr>
        <w:autoSpaceDE w:val="0"/>
        <w:autoSpaceDN w:val="0"/>
        <w:adjustRightInd w:val="0"/>
        <w:spacing w:line="360" w:lineRule="auto"/>
        <w:jc w:val="both"/>
        <w:rPr>
          <w:color w:val="000000" w:themeColor="text1"/>
        </w:rPr>
      </w:pPr>
      <w:r w:rsidRPr="00884FEC">
        <w:rPr>
          <w:color w:val="000000" w:themeColor="text1"/>
        </w:rPr>
        <w:t>The ARDL regression analysis model employed in the study can be expressed as follows:</w:t>
      </w:r>
    </w:p>
    <w:p w:rsidR="00A632AF" w:rsidRPr="00884FEC" w:rsidRDefault="004207A4" w:rsidP="00432008">
      <w:pPr>
        <w:autoSpaceDE w:val="0"/>
        <w:autoSpaceDN w:val="0"/>
        <w:adjustRightInd w:val="0"/>
        <w:spacing w:line="360" w:lineRule="auto"/>
        <w:jc w:val="both"/>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ΔRGDP</m:t>
              </m:r>
            </m:e>
            <m:sub>
              <m:r>
                <w:rPr>
                  <w:rFonts w:ascii="Cambria Math" w:hAnsi="Cambria Math"/>
                  <w:color w:val="000000" w:themeColor="text1"/>
                </w:rPr>
                <m:t>t</m:t>
              </m:r>
            </m:sub>
          </m:sSub>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color w:val="000000" w:themeColor="text1"/>
                </w:rPr>
                <m:t>0</m:t>
              </m:r>
            </m:sub>
          </m:sSub>
          <m:r>
            <w:rPr>
              <w:rFonts w:ascii="Cambria Math"/>
              <w:color w:val="000000" w:themeColor="text1"/>
            </w:rPr>
            <m:t>+</m:t>
          </m:r>
          <m:nary>
            <m:naryPr>
              <m:chr m:val="∑"/>
              <m:limLoc m:val="undOvr"/>
              <m:subHide m:val="1"/>
              <m:supHide m:val="1"/>
              <m:ctrlPr>
                <w:rPr>
                  <w:rFonts w:ascii="Cambria Math" w:hAnsi="Cambria Math"/>
                  <w:i/>
                  <w:color w:val="000000" w:themeColor="text1"/>
                </w:rPr>
              </m:ctrlPr>
            </m:naryPr>
            <m:sub/>
            <m:sup/>
            <m:e>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color w:val="000000" w:themeColor="text1"/>
                        </w:rPr>
                        <m:t>1</m:t>
                      </m:r>
                    </m:sub>
                  </m:sSub>
                  <m:r>
                    <w:rPr>
                      <w:rFonts w:ascii="Cambria Math" w:hAnsi="Cambria Math"/>
                      <w:color w:val="000000" w:themeColor="text1"/>
                    </w:rPr>
                    <m:t>ΔRGDP</m:t>
                  </m:r>
                </m:e>
                <m:sub>
                  <m:r>
                    <w:rPr>
                      <w:rFonts w:ascii="Cambria Math" w:hAnsi="Cambria Math"/>
                      <w:color w:val="000000" w:themeColor="text1"/>
                    </w:rPr>
                    <m:t>t-</m:t>
                  </m:r>
                  <m:r>
                    <w:rPr>
                      <w:rFonts w:ascii="Cambria Math"/>
                      <w:color w:val="000000" w:themeColor="text1"/>
                    </w:rPr>
                    <m:t>1</m:t>
                  </m:r>
                </m:sub>
              </m:sSub>
            </m:e>
          </m:nary>
          <m:r>
            <w:rPr>
              <w:rFonts w:ascii="Cambria Math"/>
              <w:color w:val="000000" w:themeColor="text1"/>
            </w:rPr>
            <m:t>+</m:t>
          </m:r>
          <m:sSub>
            <m:sSubPr>
              <m:ctrlPr>
                <w:rPr>
                  <w:rFonts w:ascii="Cambria Math" w:hAnsi="Cambria Math"/>
                  <w:i/>
                  <w:color w:val="000000" w:themeColor="text1"/>
                </w:rPr>
              </m:ctrlPr>
            </m:sSubPr>
            <m:e>
              <m:nary>
                <m:naryPr>
                  <m:chr m:val="∑"/>
                  <m:limLoc m:val="undOvr"/>
                  <m:subHide m:val="1"/>
                  <m:supHide m:val="1"/>
                  <m:ctrlPr>
                    <w:rPr>
                      <w:rFonts w:ascii="Cambria Math" w:hAnsi="Cambria Math"/>
                      <w:i/>
                      <w:color w:val="000000" w:themeColor="text1"/>
                    </w:rPr>
                  </m:ctrlPr>
                </m:naryPr>
                <m:sub/>
                <m:sup/>
                <m:e/>
              </m:nary>
              <m:r>
                <w:rPr>
                  <w:rFonts w:ascii="Cambria Math" w:hAnsi="Cambria Math"/>
                  <w:color w:val="000000" w:themeColor="text1"/>
                </w:rPr>
                <m:t>β</m:t>
              </m:r>
            </m:e>
            <m:sub>
              <m:r>
                <w:rPr>
                  <w:rFonts w:asci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ΔELC</m:t>
              </m:r>
            </m:e>
            <m:sub>
              <m:r>
                <w:rPr>
                  <w:rFonts w:ascii="Cambria Math" w:hAnsi="Cambria Math"/>
                  <w:color w:val="000000" w:themeColor="text1"/>
                </w:rPr>
                <m:t>t-</m:t>
              </m:r>
              <m:r>
                <w:rPr>
                  <w:rFonts w:ascii="Cambria Math"/>
                  <w:color w:val="000000" w:themeColor="text1"/>
                </w:rPr>
                <m:t>1</m:t>
              </m:r>
            </m:sub>
          </m:sSub>
          <m:r>
            <w:rPr>
              <w:rFonts w:ascii="Cambria Math"/>
              <w:color w:val="000000" w:themeColor="text1"/>
            </w:rPr>
            <m:t>+</m:t>
          </m:r>
          <m:nary>
            <m:naryPr>
              <m:chr m:val="∑"/>
              <m:limLoc m:val="undOvr"/>
              <m:subHide m:val="1"/>
              <m:supHide m:val="1"/>
              <m:ctrlPr>
                <w:rPr>
                  <w:rFonts w:ascii="Cambria Math" w:hAnsi="Cambria Math"/>
                  <w:i/>
                  <w:color w:val="000000" w:themeColor="text1"/>
                </w:rPr>
              </m:ctrlPr>
            </m:naryPr>
            <m:sub/>
            <m:sup/>
            <m:e/>
          </m:nary>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ΔINP</m:t>
              </m:r>
            </m:e>
            <m:sub>
              <m:r>
                <w:rPr>
                  <w:rFonts w:ascii="Cambria Math" w:hAnsi="Cambria Math"/>
                  <w:color w:val="000000" w:themeColor="text1"/>
                </w:rPr>
                <m:t>t-</m:t>
              </m:r>
              <m:r>
                <w:rPr>
                  <w:rFonts w:ascii="Cambria Math"/>
                  <w:color w:val="000000" w:themeColor="text1"/>
                </w:rPr>
                <m:t>1</m:t>
              </m:r>
            </m:sub>
          </m:sSub>
          <m:r>
            <w:rPr>
              <w:rFonts w:ascii="Cambria Math"/>
              <w:color w:val="000000" w:themeColor="text1"/>
            </w:rPr>
            <m:t>+</m:t>
          </m:r>
          <m:sSub>
            <m:sSubPr>
              <m:ctrlPr>
                <w:rPr>
                  <w:rFonts w:ascii="Cambria Math" w:hAnsi="Cambria Math"/>
                  <w:i/>
                  <w:color w:val="000000" w:themeColor="text1"/>
                </w:rPr>
              </m:ctrlPr>
            </m:sSubPr>
            <m:e>
              <m:nary>
                <m:naryPr>
                  <m:chr m:val="∑"/>
                  <m:limLoc m:val="undOvr"/>
                  <m:subHide m:val="1"/>
                  <m:supHide m:val="1"/>
                  <m:ctrlPr>
                    <w:rPr>
                      <w:rFonts w:ascii="Cambria Math" w:hAnsi="Cambria Math"/>
                      <w:i/>
                      <w:color w:val="000000" w:themeColor="text1"/>
                    </w:rPr>
                  </m:ctrlPr>
                </m:naryPr>
                <m:sub/>
                <m:sup/>
                <m:e/>
              </m:nary>
              <m:r>
                <w:rPr>
                  <w:rFonts w:ascii="Cambria Math" w:hAnsi="Cambria Math"/>
                  <w:color w:val="000000" w:themeColor="text1"/>
                </w:rPr>
                <m:t>β</m:t>
              </m:r>
            </m:e>
            <m:sub>
              <m:r>
                <w:rPr>
                  <w:rFonts w:asci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ΔINF</m:t>
              </m:r>
            </m:e>
            <m:sub>
              <m:r>
                <w:rPr>
                  <w:rFonts w:ascii="Cambria Math" w:hAnsi="Cambria Math"/>
                  <w:color w:val="000000" w:themeColor="text1"/>
                </w:rPr>
                <m:t>t-</m:t>
              </m:r>
              <m:r>
                <w:rPr>
                  <w:rFonts w:ascii="Cambria Math"/>
                  <w:color w:val="000000" w:themeColor="text1"/>
                </w:rPr>
                <m:t>1</m:t>
              </m:r>
            </m:sub>
          </m:sSub>
          <m:r>
            <w:rPr>
              <w:rFonts w:ascii="Cambria Math"/>
              <w:color w:val="000000" w:themeColor="text1"/>
            </w:rPr>
            <m:t>+</m:t>
          </m:r>
          <m:sSub>
            <m:sSubPr>
              <m:ctrlPr>
                <w:rPr>
                  <w:rFonts w:ascii="Cambria Math" w:hAnsi="Cambria Math"/>
                  <w:i/>
                  <w:color w:val="000000" w:themeColor="text1"/>
                </w:rPr>
              </m:ctrlPr>
            </m:sSubPr>
            <m:e>
              <m:nary>
                <m:naryPr>
                  <m:chr m:val="∑"/>
                  <m:limLoc m:val="undOvr"/>
                  <m:subHide m:val="1"/>
                  <m:supHide m:val="1"/>
                  <m:ctrlPr>
                    <w:rPr>
                      <w:rFonts w:ascii="Cambria Math" w:hAnsi="Cambria Math"/>
                      <w:i/>
                      <w:color w:val="000000" w:themeColor="text1"/>
                    </w:rPr>
                  </m:ctrlPr>
                </m:naryPr>
                <m:sub/>
                <m:sup/>
                <m:e/>
              </m:nary>
              <m:r>
                <w:rPr>
                  <w:rFonts w:ascii="Cambria Math" w:hAnsi="Cambria Math"/>
                  <w:color w:val="000000" w:themeColor="text1"/>
                </w:rPr>
                <m:t>β</m:t>
              </m:r>
            </m:e>
            <m:sub>
              <m:r>
                <w:rPr>
                  <w:rFonts w:asci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ΔUNPL</m:t>
              </m:r>
            </m:e>
            <m:sub>
              <m:r>
                <w:rPr>
                  <w:rFonts w:ascii="Cambria Math" w:hAnsi="Cambria Math"/>
                  <w:color w:val="000000" w:themeColor="text1"/>
                </w:rPr>
                <m:t>t-</m:t>
              </m:r>
              <m:r>
                <w:rPr>
                  <w:rFonts w:ascii="Cambria Math"/>
                  <w:color w:val="000000" w:themeColor="text1"/>
                </w:rPr>
                <m:t>1</m:t>
              </m:r>
            </m:sub>
          </m:sSub>
          <m:r>
            <w:rPr>
              <w:rFonts w:asci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Ɛ</m:t>
              </m:r>
            </m:e>
            <m:sub>
              <m:r>
                <w:rPr>
                  <w:rFonts w:ascii="Cambria Math" w:hAnsi="Cambria Math"/>
                  <w:color w:val="000000" w:themeColor="text1"/>
                </w:rPr>
                <m:t>t</m:t>
              </m:r>
            </m:sub>
          </m:sSub>
          <m:r>
            <w:rPr>
              <w:rFonts w:ascii="Cambria Math" w:hAnsi="Cambria Math"/>
              <w:color w:val="000000" w:themeColor="text1"/>
            </w:rPr>
            <m:t>…………</m:t>
          </m:r>
          <m:r>
            <w:rPr>
              <w:rFonts w:ascii="Cambria Math"/>
              <w:color w:val="000000" w:themeColor="text1"/>
            </w:rPr>
            <m:t>..(8)</m:t>
          </m:r>
        </m:oMath>
      </m:oMathPara>
    </w:p>
    <w:p w:rsidR="00A632AF" w:rsidRPr="00884FEC" w:rsidRDefault="00A632AF" w:rsidP="00432008">
      <w:pPr>
        <w:autoSpaceDE w:val="0"/>
        <w:autoSpaceDN w:val="0"/>
        <w:adjustRightInd w:val="0"/>
        <w:spacing w:line="360" w:lineRule="auto"/>
        <w:jc w:val="both"/>
        <w:rPr>
          <w:color w:val="000000" w:themeColor="text1"/>
        </w:rPr>
      </w:pPr>
      <w:r w:rsidRPr="00884FEC">
        <w:rPr>
          <w:color w:val="000000" w:themeColor="text1"/>
        </w:rPr>
        <w:t xml:space="preserve">where α is the intercept, </w:t>
      </w:r>
      <w:r w:rsidR="00432008" w:rsidRPr="00884FEC">
        <w:rPr>
          <w:color w:val="000000" w:themeColor="text1"/>
        </w:rPr>
        <w:t xml:space="preserve">RGDP, ELC, INP, INF and </w:t>
      </w:r>
      <w:r w:rsidR="00CA078F" w:rsidRPr="00884FEC">
        <w:rPr>
          <w:color w:val="000000" w:themeColor="text1"/>
        </w:rPr>
        <w:t>UNPL respectively</w:t>
      </w:r>
      <w:r w:rsidRPr="00884FEC">
        <w:rPr>
          <w:color w:val="000000" w:themeColor="text1"/>
        </w:rPr>
        <w:t xml:space="preserve">, are the variables used in the </w:t>
      </w:r>
      <w:r w:rsidR="00CA078F" w:rsidRPr="00884FEC">
        <w:rPr>
          <w:color w:val="000000" w:themeColor="text1"/>
        </w:rPr>
        <w:t xml:space="preserve">model, </w:t>
      </w:r>
      <w:proofErr w:type="spellStart"/>
      <w:r w:rsidR="00CA078F" w:rsidRPr="00884FEC">
        <w:rPr>
          <w:color w:val="000000" w:themeColor="text1"/>
        </w:rPr>
        <w:t>ε</w:t>
      </w:r>
      <w:r w:rsidR="00CA078F" w:rsidRPr="00884FEC">
        <w:rPr>
          <w:color w:val="000000" w:themeColor="text1"/>
          <w:vertAlign w:val="subscript"/>
        </w:rPr>
        <w:t>t</w:t>
      </w:r>
      <w:proofErr w:type="spellEnd"/>
      <w:r w:rsidR="00CA078F" w:rsidRPr="00884FEC">
        <w:rPr>
          <w:color w:val="000000" w:themeColor="text1"/>
        </w:rPr>
        <w:t xml:space="preserve"> is</w:t>
      </w:r>
      <w:r w:rsidRPr="00884FEC">
        <w:rPr>
          <w:color w:val="000000" w:themeColor="text1"/>
        </w:rPr>
        <w:t xml:space="preserve"> the white noise and Δ is the first difference operator. In order to test the long-run equilibrium relationship among  the variables the study employs the “F-test” in the ARDL Bounds test based on the null hypothesis of no co-integration [i.e. H0 : δ</w:t>
      </w:r>
      <w:r w:rsidRPr="00884FEC">
        <w:rPr>
          <w:color w:val="000000" w:themeColor="text1"/>
          <w:vertAlign w:val="subscript"/>
        </w:rPr>
        <w:t>1</w:t>
      </w:r>
      <w:r w:rsidRPr="00884FEC">
        <w:rPr>
          <w:color w:val="000000" w:themeColor="text1"/>
        </w:rPr>
        <w:t xml:space="preserve"> = δ</w:t>
      </w:r>
      <w:r w:rsidRPr="00884FEC">
        <w:rPr>
          <w:color w:val="000000" w:themeColor="text1"/>
          <w:vertAlign w:val="subscript"/>
        </w:rPr>
        <w:t>2</w:t>
      </w:r>
      <w:r w:rsidRPr="00884FEC">
        <w:rPr>
          <w:color w:val="000000" w:themeColor="text1"/>
        </w:rPr>
        <w:t>= δ</w:t>
      </w:r>
      <w:r w:rsidRPr="00884FEC">
        <w:rPr>
          <w:color w:val="000000" w:themeColor="text1"/>
          <w:vertAlign w:val="subscript"/>
        </w:rPr>
        <w:t>3</w:t>
      </w:r>
      <w:r w:rsidRPr="00884FEC">
        <w:rPr>
          <w:color w:val="000000" w:themeColor="text1"/>
        </w:rPr>
        <w:t xml:space="preserve"> = δ</w:t>
      </w:r>
      <w:r w:rsidRPr="00884FEC">
        <w:rPr>
          <w:color w:val="000000" w:themeColor="text1"/>
          <w:vertAlign w:val="subscript"/>
        </w:rPr>
        <w:t>4</w:t>
      </w:r>
      <w:r w:rsidRPr="00884FEC">
        <w:rPr>
          <w:color w:val="000000" w:themeColor="text1"/>
        </w:rPr>
        <w:t xml:space="preserve"> = 0], contrary to the alternative hypothesis of co-integration [i.e. H1 : δ</w:t>
      </w:r>
      <w:r w:rsidRPr="00884FEC">
        <w:rPr>
          <w:color w:val="000000" w:themeColor="text1"/>
          <w:vertAlign w:val="subscript"/>
        </w:rPr>
        <w:t xml:space="preserve">1 </w:t>
      </w:r>
      <w:r w:rsidRPr="00884FEC">
        <w:rPr>
          <w:color w:val="000000" w:themeColor="text1"/>
        </w:rPr>
        <w:t>≠ δ</w:t>
      </w:r>
      <w:r w:rsidRPr="00884FEC">
        <w:rPr>
          <w:color w:val="000000" w:themeColor="text1"/>
          <w:vertAlign w:val="subscript"/>
        </w:rPr>
        <w:t xml:space="preserve">2 </w:t>
      </w:r>
      <w:r w:rsidRPr="00884FEC">
        <w:rPr>
          <w:color w:val="000000" w:themeColor="text1"/>
        </w:rPr>
        <w:t>≠ δ</w:t>
      </w:r>
      <w:r w:rsidRPr="00884FEC">
        <w:rPr>
          <w:color w:val="000000" w:themeColor="text1"/>
          <w:vertAlign w:val="subscript"/>
        </w:rPr>
        <w:t xml:space="preserve">3 </w:t>
      </w:r>
      <w:r w:rsidRPr="00884FEC">
        <w:rPr>
          <w:color w:val="000000" w:themeColor="text1"/>
        </w:rPr>
        <w:t>≠ δ</w:t>
      </w:r>
      <w:r w:rsidRPr="00884FEC">
        <w:rPr>
          <w:color w:val="000000" w:themeColor="text1"/>
          <w:vertAlign w:val="subscript"/>
        </w:rPr>
        <w:t xml:space="preserve">4 </w:t>
      </w:r>
      <w:r w:rsidRPr="00884FEC">
        <w:rPr>
          <w:color w:val="000000" w:themeColor="text1"/>
        </w:rPr>
        <w:t>≠ 0]. Accordingly, the computed “F-statistic” is compared to both the upper and lower bounds critical value to either reject or accept the null hypothesis (</w:t>
      </w:r>
      <w:proofErr w:type="spellStart"/>
      <w:r w:rsidRPr="00884FEC">
        <w:rPr>
          <w:color w:val="000000" w:themeColor="text1"/>
        </w:rPr>
        <w:t>Pesaran</w:t>
      </w:r>
      <w:proofErr w:type="spellEnd"/>
      <w:r w:rsidRPr="00884FEC">
        <w:rPr>
          <w:color w:val="000000" w:themeColor="text1"/>
        </w:rPr>
        <w:t xml:space="preserve"> et al., 2001). </w:t>
      </w:r>
    </w:p>
    <w:p w:rsidR="00884FEC" w:rsidRPr="00884FEC" w:rsidRDefault="00884FEC" w:rsidP="00884FEC">
      <w:pPr>
        <w:autoSpaceDE w:val="0"/>
        <w:autoSpaceDN w:val="0"/>
        <w:adjustRightInd w:val="0"/>
        <w:spacing w:before="240"/>
        <w:jc w:val="both"/>
        <w:rPr>
          <w:b/>
          <w:color w:val="000000" w:themeColor="text1"/>
        </w:rPr>
      </w:pPr>
      <w:r w:rsidRPr="00884FEC">
        <w:rPr>
          <w:b/>
          <w:color w:val="000000" w:themeColor="text1"/>
        </w:rPr>
        <w:t>4. Results and Discussion</w:t>
      </w:r>
    </w:p>
    <w:p w:rsidR="00884FEC" w:rsidRPr="00884FEC" w:rsidRDefault="00884FEC" w:rsidP="00884FEC">
      <w:pPr>
        <w:spacing w:line="360" w:lineRule="auto"/>
        <w:ind w:left="90"/>
        <w:jc w:val="both"/>
        <w:outlineLvl w:val="0"/>
        <w:rPr>
          <w:b/>
          <w:color w:val="000000" w:themeColor="text1"/>
        </w:rPr>
      </w:pPr>
      <w:r w:rsidRPr="00884FEC">
        <w:rPr>
          <w:b/>
          <w:color w:val="000000" w:themeColor="text1"/>
        </w:rPr>
        <w:t>4.1 Unit Root Test</w:t>
      </w:r>
    </w:p>
    <w:p w:rsidR="00884FEC" w:rsidRPr="00AB0CD4" w:rsidRDefault="00884FEC" w:rsidP="00AB0CD4">
      <w:pPr>
        <w:spacing w:line="360" w:lineRule="auto"/>
        <w:ind w:left="90"/>
        <w:jc w:val="both"/>
        <w:rPr>
          <w:color w:val="000000" w:themeColor="text1"/>
        </w:rPr>
      </w:pPr>
      <w:r w:rsidRPr="00884FEC">
        <w:rPr>
          <w:color w:val="000000" w:themeColor="text1"/>
        </w:rPr>
        <w:t>Before conducting cointegration analysis, the time series properties of the series were checked first. Various methods can be used to examine the stationarity or otherwise of the series. In this study, three different unit root tests were employed in order to have the robust results. These are Augmented Dickey Fuller (ADF) and Phillips-</w:t>
      </w:r>
      <w:proofErr w:type="spellStart"/>
      <w:r w:rsidRPr="00884FEC">
        <w:rPr>
          <w:color w:val="000000" w:themeColor="text1"/>
        </w:rPr>
        <w:t>Perron</w:t>
      </w:r>
      <w:proofErr w:type="spellEnd"/>
      <w:r w:rsidRPr="00884FEC">
        <w:rPr>
          <w:color w:val="000000" w:themeColor="text1"/>
        </w:rPr>
        <w:t xml:space="preserve"> (PP) </w:t>
      </w:r>
      <w:r w:rsidRPr="00884FEC">
        <w:rPr>
          <w:color w:val="000000" w:themeColor="text1"/>
          <w:szCs w:val="18"/>
        </w:rPr>
        <w:t xml:space="preserve">unit root tests. </w:t>
      </w:r>
      <w:r w:rsidRPr="00884FEC">
        <w:rPr>
          <w:color w:val="000000" w:themeColor="text1"/>
        </w:rPr>
        <w:t xml:space="preserve"> The tests are conducted at level and first difference with trend and intercept. The Augmented Dickey Fuller (ADF) and Phillips-</w:t>
      </w:r>
      <w:proofErr w:type="spellStart"/>
      <w:r w:rsidRPr="00884FEC">
        <w:rPr>
          <w:color w:val="000000" w:themeColor="text1"/>
        </w:rPr>
        <w:t>Perron</w:t>
      </w:r>
      <w:proofErr w:type="spellEnd"/>
      <w:r w:rsidRPr="00884FEC">
        <w:rPr>
          <w:color w:val="000000" w:themeColor="text1"/>
        </w:rPr>
        <w:t xml:space="preserve"> (PP) unit root tests have a null hypothesis stating that, the series in question has a unit root against the alternative that the variable does not has a unit root.  Table 1 presents the results of various unit root tests with trend and intercept as:</w:t>
      </w:r>
    </w:p>
    <w:p w:rsidR="00884FEC" w:rsidRPr="00884FEC" w:rsidRDefault="00884FEC" w:rsidP="00884FEC">
      <w:pPr>
        <w:spacing w:line="360" w:lineRule="auto"/>
        <w:ind w:left="90"/>
        <w:jc w:val="both"/>
        <w:rPr>
          <w:b/>
          <w:color w:val="000000" w:themeColor="text1"/>
        </w:rPr>
      </w:pPr>
      <w:r w:rsidRPr="00884FEC">
        <w:rPr>
          <w:b/>
          <w:color w:val="000000" w:themeColor="text1"/>
        </w:rPr>
        <w:t>Tables 1 Unit Root Tests.</w:t>
      </w:r>
    </w:p>
    <w:tbl>
      <w:tblPr>
        <w:tblW w:w="9801" w:type="dxa"/>
        <w:tblInd w:w="93" w:type="dxa"/>
        <w:tblLook w:val="04A0" w:firstRow="1" w:lastRow="0" w:firstColumn="1" w:lastColumn="0" w:noHBand="0" w:noVBand="1"/>
      </w:tblPr>
      <w:tblGrid>
        <w:gridCol w:w="1220"/>
        <w:gridCol w:w="1400"/>
        <w:gridCol w:w="2203"/>
        <w:gridCol w:w="1433"/>
        <w:gridCol w:w="3545"/>
      </w:tblGrid>
      <w:tr w:rsidR="00884FEC" w:rsidRPr="00884FEC" w:rsidTr="00B66A9C">
        <w:trPr>
          <w:trHeight w:val="207"/>
        </w:trPr>
        <w:tc>
          <w:tcPr>
            <w:tcW w:w="1220" w:type="dxa"/>
            <w:tcBorders>
              <w:top w:val="double" w:sz="6" w:space="0" w:color="auto"/>
              <w:left w:val="nil"/>
              <w:bottom w:val="double" w:sz="6" w:space="0" w:color="auto"/>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 </w:t>
            </w:r>
          </w:p>
        </w:tc>
        <w:tc>
          <w:tcPr>
            <w:tcW w:w="3603" w:type="dxa"/>
            <w:gridSpan w:val="2"/>
            <w:tcBorders>
              <w:top w:val="double" w:sz="6" w:space="0" w:color="auto"/>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 xml:space="preserve">ADF Unit Root Test at Level  </w:t>
            </w:r>
          </w:p>
        </w:tc>
        <w:tc>
          <w:tcPr>
            <w:tcW w:w="4978" w:type="dxa"/>
            <w:gridSpan w:val="2"/>
            <w:tcBorders>
              <w:top w:val="double" w:sz="6" w:space="0" w:color="auto"/>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ADF Unit Root Test at First Difference</w:t>
            </w:r>
          </w:p>
        </w:tc>
      </w:tr>
      <w:tr w:rsidR="00884FEC" w:rsidRPr="00884FEC" w:rsidTr="00B66A9C">
        <w:trPr>
          <w:trHeight w:val="342"/>
        </w:trPr>
        <w:tc>
          <w:tcPr>
            <w:tcW w:w="1220" w:type="dxa"/>
            <w:tcBorders>
              <w:top w:val="nil"/>
              <w:left w:val="nil"/>
              <w:bottom w:val="single" w:sz="4"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Variables</w:t>
            </w:r>
          </w:p>
        </w:tc>
        <w:tc>
          <w:tcPr>
            <w:tcW w:w="1400" w:type="dxa"/>
            <w:tcBorders>
              <w:top w:val="nil"/>
              <w:left w:val="nil"/>
              <w:bottom w:val="single" w:sz="4"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T statistic</w:t>
            </w:r>
          </w:p>
        </w:tc>
        <w:tc>
          <w:tcPr>
            <w:tcW w:w="2203" w:type="dxa"/>
            <w:tcBorders>
              <w:top w:val="nil"/>
              <w:left w:val="nil"/>
              <w:bottom w:val="single" w:sz="4"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 xml:space="preserve">Probability </w:t>
            </w:r>
          </w:p>
        </w:tc>
        <w:tc>
          <w:tcPr>
            <w:tcW w:w="1433" w:type="dxa"/>
            <w:tcBorders>
              <w:top w:val="nil"/>
              <w:left w:val="nil"/>
              <w:bottom w:val="single" w:sz="4"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T statistic</w:t>
            </w:r>
          </w:p>
        </w:tc>
        <w:tc>
          <w:tcPr>
            <w:tcW w:w="3545" w:type="dxa"/>
            <w:tcBorders>
              <w:top w:val="nil"/>
              <w:left w:val="nil"/>
              <w:bottom w:val="single" w:sz="4"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 xml:space="preserve">Probability </w:t>
            </w:r>
          </w:p>
        </w:tc>
      </w:tr>
      <w:tr w:rsidR="00884FEC" w:rsidRPr="00884FEC" w:rsidTr="00B66A9C">
        <w:trPr>
          <w:trHeight w:val="315"/>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RGDP</w:t>
            </w:r>
          </w:p>
        </w:tc>
        <w:tc>
          <w:tcPr>
            <w:tcW w:w="14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-3.673114</w:t>
            </w:r>
          </w:p>
        </w:tc>
        <w:tc>
          <w:tcPr>
            <w:tcW w:w="220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0.0396**</w:t>
            </w:r>
          </w:p>
        </w:tc>
        <w:tc>
          <w:tcPr>
            <w:tcW w:w="143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-4.268429</w:t>
            </w:r>
          </w:p>
        </w:tc>
        <w:tc>
          <w:tcPr>
            <w:tcW w:w="354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0.0007*</w:t>
            </w:r>
          </w:p>
        </w:tc>
      </w:tr>
      <w:tr w:rsidR="00884FEC" w:rsidRPr="00884FEC" w:rsidTr="00B66A9C">
        <w:trPr>
          <w:trHeight w:val="315"/>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ELC</w:t>
            </w:r>
          </w:p>
        </w:tc>
        <w:tc>
          <w:tcPr>
            <w:tcW w:w="14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-1.848453</w:t>
            </w:r>
          </w:p>
        </w:tc>
        <w:tc>
          <w:tcPr>
            <w:tcW w:w="220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0.6593</w:t>
            </w:r>
          </w:p>
        </w:tc>
        <w:tc>
          <w:tcPr>
            <w:tcW w:w="143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-5.609416</w:t>
            </w:r>
          </w:p>
        </w:tc>
        <w:tc>
          <w:tcPr>
            <w:tcW w:w="354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0.0003*</w:t>
            </w:r>
          </w:p>
        </w:tc>
      </w:tr>
      <w:tr w:rsidR="00884FEC" w:rsidRPr="00884FEC" w:rsidTr="00B66A9C">
        <w:trPr>
          <w:trHeight w:val="300"/>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INF</w:t>
            </w:r>
          </w:p>
        </w:tc>
        <w:tc>
          <w:tcPr>
            <w:tcW w:w="14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-3.794239</w:t>
            </w:r>
          </w:p>
        </w:tc>
        <w:tc>
          <w:tcPr>
            <w:tcW w:w="220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0.0043*</w:t>
            </w:r>
          </w:p>
        </w:tc>
        <w:tc>
          <w:tcPr>
            <w:tcW w:w="143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-4.013057</w:t>
            </w:r>
          </w:p>
        </w:tc>
        <w:tc>
          <w:tcPr>
            <w:tcW w:w="354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0.0001*</w:t>
            </w:r>
          </w:p>
        </w:tc>
      </w:tr>
      <w:tr w:rsidR="00884FEC" w:rsidRPr="00884FEC" w:rsidTr="00B66A9C">
        <w:trPr>
          <w:trHeight w:val="315"/>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INP</w:t>
            </w:r>
          </w:p>
        </w:tc>
        <w:tc>
          <w:tcPr>
            <w:tcW w:w="14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-1.722727</w:t>
            </w:r>
          </w:p>
        </w:tc>
        <w:tc>
          <w:tcPr>
            <w:tcW w:w="220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0.7190</w:t>
            </w:r>
          </w:p>
        </w:tc>
        <w:tc>
          <w:tcPr>
            <w:tcW w:w="143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-4.417359</w:t>
            </w:r>
          </w:p>
        </w:tc>
        <w:tc>
          <w:tcPr>
            <w:tcW w:w="354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0.0067*</w:t>
            </w:r>
          </w:p>
        </w:tc>
      </w:tr>
      <w:tr w:rsidR="00884FEC" w:rsidRPr="00884FEC" w:rsidTr="00B66A9C">
        <w:trPr>
          <w:trHeight w:val="330"/>
        </w:trPr>
        <w:tc>
          <w:tcPr>
            <w:tcW w:w="1220" w:type="dxa"/>
            <w:tcBorders>
              <w:top w:val="nil"/>
              <w:left w:val="nil"/>
              <w:bottom w:val="double" w:sz="6" w:space="0" w:color="auto"/>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ENPL</w:t>
            </w:r>
          </w:p>
        </w:tc>
        <w:tc>
          <w:tcPr>
            <w:tcW w:w="1400" w:type="dxa"/>
            <w:tcBorders>
              <w:top w:val="nil"/>
              <w:left w:val="nil"/>
              <w:bottom w:val="double" w:sz="6"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-0.059983</w:t>
            </w:r>
          </w:p>
        </w:tc>
        <w:tc>
          <w:tcPr>
            <w:tcW w:w="2203" w:type="dxa"/>
            <w:tcBorders>
              <w:top w:val="nil"/>
              <w:left w:val="nil"/>
              <w:bottom w:val="double" w:sz="6"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0.9932</w:t>
            </w:r>
          </w:p>
        </w:tc>
        <w:tc>
          <w:tcPr>
            <w:tcW w:w="1433" w:type="dxa"/>
            <w:tcBorders>
              <w:top w:val="nil"/>
              <w:left w:val="nil"/>
              <w:bottom w:val="double" w:sz="6"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-5.349621</w:t>
            </w:r>
          </w:p>
        </w:tc>
        <w:tc>
          <w:tcPr>
            <w:tcW w:w="3545" w:type="dxa"/>
            <w:tcBorders>
              <w:top w:val="nil"/>
              <w:left w:val="nil"/>
              <w:bottom w:val="double" w:sz="6"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0.0006*</w:t>
            </w:r>
          </w:p>
        </w:tc>
      </w:tr>
      <w:tr w:rsidR="00884FEC" w:rsidRPr="00884FEC" w:rsidTr="00B66A9C">
        <w:trPr>
          <w:trHeight w:val="165"/>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color w:val="000000" w:themeColor="text1"/>
              </w:rPr>
            </w:pPr>
          </w:p>
        </w:tc>
        <w:tc>
          <w:tcPr>
            <w:tcW w:w="1400" w:type="dxa"/>
            <w:tcBorders>
              <w:top w:val="nil"/>
              <w:left w:val="nil"/>
              <w:bottom w:val="nil"/>
              <w:right w:val="nil"/>
            </w:tcBorders>
            <w:shd w:val="clear" w:color="auto" w:fill="auto"/>
            <w:noWrap/>
            <w:vAlign w:val="bottom"/>
            <w:hideMark/>
          </w:tcPr>
          <w:p w:rsidR="00884FEC" w:rsidRPr="00884FEC" w:rsidRDefault="00884FEC" w:rsidP="00B66A9C">
            <w:pPr>
              <w:rPr>
                <w:color w:val="000000" w:themeColor="text1"/>
              </w:rPr>
            </w:pPr>
          </w:p>
        </w:tc>
        <w:tc>
          <w:tcPr>
            <w:tcW w:w="2203" w:type="dxa"/>
            <w:tcBorders>
              <w:top w:val="nil"/>
              <w:left w:val="nil"/>
              <w:bottom w:val="nil"/>
              <w:right w:val="nil"/>
            </w:tcBorders>
            <w:shd w:val="clear" w:color="auto" w:fill="auto"/>
            <w:noWrap/>
            <w:vAlign w:val="bottom"/>
            <w:hideMark/>
          </w:tcPr>
          <w:p w:rsidR="00884FEC" w:rsidRPr="00884FEC" w:rsidRDefault="00884FEC" w:rsidP="00B66A9C">
            <w:pPr>
              <w:rPr>
                <w:color w:val="000000" w:themeColor="text1"/>
              </w:rPr>
            </w:pPr>
          </w:p>
        </w:tc>
        <w:tc>
          <w:tcPr>
            <w:tcW w:w="1433" w:type="dxa"/>
            <w:tcBorders>
              <w:top w:val="nil"/>
              <w:left w:val="nil"/>
              <w:bottom w:val="nil"/>
              <w:right w:val="nil"/>
            </w:tcBorders>
            <w:shd w:val="clear" w:color="auto" w:fill="auto"/>
            <w:noWrap/>
            <w:vAlign w:val="bottom"/>
            <w:hideMark/>
          </w:tcPr>
          <w:p w:rsidR="00884FEC" w:rsidRPr="00884FEC" w:rsidRDefault="00884FEC" w:rsidP="00B66A9C">
            <w:pPr>
              <w:rPr>
                <w:color w:val="000000" w:themeColor="text1"/>
              </w:rPr>
            </w:pPr>
          </w:p>
        </w:tc>
        <w:tc>
          <w:tcPr>
            <w:tcW w:w="3545" w:type="dxa"/>
            <w:tcBorders>
              <w:top w:val="nil"/>
              <w:left w:val="nil"/>
              <w:bottom w:val="nil"/>
              <w:right w:val="nil"/>
            </w:tcBorders>
            <w:shd w:val="clear" w:color="auto" w:fill="auto"/>
            <w:noWrap/>
            <w:vAlign w:val="bottom"/>
            <w:hideMark/>
          </w:tcPr>
          <w:p w:rsidR="00884FEC" w:rsidRPr="00884FEC" w:rsidRDefault="00884FEC" w:rsidP="00B66A9C">
            <w:pPr>
              <w:rPr>
                <w:color w:val="000000" w:themeColor="text1"/>
              </w:rPr>
            </w:pPr>
          </w:p>
        </w:tc>
      </w:tr>
      <w:tr w:rsidR="00884FEC" w:rsidRPr="00884FEC" w:rsidTr="00B66A9C">
        <w:trPr>
          <w:trHeight w:val="243"/>
        </w:trPr>
        <w:tc>
          <w:tcPr>
            <w:tcW w:w="1220" w:type="dxa"/>
            <w:tcBorders>
              <w:top w:val="nil"/>
              <w:left w:val="nil"/>
              <w:bottom w:val="double" w:sz="6" w:space="0" w:color="auto"/>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 </w:t>
            </w:r>
          </w:p>
        </w:tc>
        <w:tc>
          <w:tcPr>
            <w:tcW w:w="3603" w:type="dxa"/>
            <w:gridSpan w:val="2"/>
            <w:tcBorders>
              <w:top w:val="nil"/>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 xml:space="preserve">PP Unit Root Test at Level  </w:t>
            </w:r>
          </w:p>
        </w:tc>
        <w:tc>
          <w:tcPr>
            <w:tcW w:w="4978" w:type="dxa"/>
            <w:gridSpan w:val="2"/>
            <w:tcBorders>
              <w:top w:val="nil"/>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PP Unit Root at First Difference)</w:t>
            </w:r>
          </w:p>
        </w:tc>
      </w:tr>
      <w:tr w:rsidR="00884FEC" w:rsidRPr="00884FEC" w:rsidTr="00B66A9C">
        <w:trPr>
          <w:trHeight w:val="345"/>
        </w:trPr>
        <w:tc>
          <w:tcPr>
            <w:tcW w:w="1220" w:type="dxa"/>
            <w:tcBorders>
              <w:top w:val="nil"/>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p>
        </w:tc>
        <w:tc>
          <w:tcPr>
            <w:tcW w:w="1400" w:type="dxa"/>
            <w:tcBorders>
              <w:top w:val="nil"/>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T statistic</w:t>
            </w:r>
          </w:p>
        </w:tc>
        <w:tc>
          <w:tcPr>
            <w:tcW w:w="2203" w:type="dxa"/>
            <w:tcBorders>
              <w:top w:val="nil"/>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 xml:space="preserve">Probability </w:t>
            </w:r>
          </w:p>
        </w:tc>
        <w:tc>
          <w:tcPr>
            <w:tcW w:w="1433" w:type="dxa"/>
            <w:tcBorders>
              <w:top w:val="nil"/>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T statistic</w:t>
            </w:r>
          </w:p>
        </w:tc>
        <w:tc>
          <w:tcPr>
            <w:tcW w:w="3545" w:type="dxa"/>
            <w:tcBorders>
              <w:top w:val="nil"/>
              <w:left w:val="nil"/>
              <w:bottom w:val="double" w:sz="6" w:space="0" w:color="auto"/>
              <w:right w:val="nil"/>
            </w:tcBorders>
            <w:shd w:val="clear" w:color="auto" w:fill="auto"/>
            <w:noWrap/>
            <w:vAlign w:val="bottom"/>
            <w:hideMark/>
          </w:tcPr>
          <w:p w:rsidR="00884FEC" w:rsidRPr="00884FEC" w:rsidRDefault="00884FEC" w:rsidP="00B66A9C">
            <w:pPr>
              <w:jc w:val="center"/>
              <w:rPr>
                <w:b/>
                <w:bCs/>
                <w:color w:val="000000" w:themeColor="text1"/>
              </w:rPr>
            </w:pPr>
            <w:r w:rsidRPr="00884FEC">
              <w:rPr>
                <w:b/>
                <w:bCs/>
                <w:color w:val="000000" w:themeColor="text1"/>
              </w:rPr>
              <w:t xml:space="preserve">Probability </w:t>
            </w:r>
          </w:p>
        </w:tc>
      </w:tr>
      <w:tr w:rsidR="00884FEC" w:rsidRPr="00884FEC" w:rsidTr="00B66A9C">
        <w:trPr>
          <w:trHeight w:val="330"/>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RGDP</w:t>
            </w:r>
          </w:p>
        </w:tc>
        <w:tc>
          <w:tcPr>
            <w:tcW w:w="14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-1.772061</w:t>
            </w:r>
          </w:p>
        </w:tc>
        <w:tc>
          <w:tcPr>
            <w:tcW w:w="220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0.6966</w:t>
            </w:r>
          </w:p>
        </w:tc>
        <w:tc>
          <w:tcPr>
            <w:tcW w:w="143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-3.212277</w:t>
            </w:r>
          </w:p>
        </w:tc>
        <w:tc>
          <w:tcPr>
            <w:tcW w:w="354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0.0190**</w:t>
            </w:r>
          </w:p>
        </w:tc>
      </w:tr>
      <w:tr w:rsidR="00884FEC" w:rsidRPr="00884FEC" w:rsidTr="00B66A9C">
        <w:trPr>
          <w:trHeight w:val="315"/>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ELC</w:t>
            </w:r>
          </w:p>
        </w:tc>
        <w:tc>
          <w:tcPr>
            <w:tcW w:w="14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-1.838945</w:t>
            </w:r>
          </w:p>
        </w:tc>
        <w:tc>
          <w:tcPr>
            <w:tcW w:w="220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0.6641</w:t>
            </w:r>
          </w:p>
        </w:tc>
        <w:tc>
          <w:tcPr>
            <w:tcW w:w="143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-5.609416</w:t>
            </w:r>
          </w:p>
        </w:tc>
        <w:tc>
          <w:tcPr>
            <w:tcW w:w="354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0.0003*</w:t>
            </w:r>
          </w:p>
        </w:tc>
      </w:tr>
      <w:tr w:rsidR="00884FEC" w:rsidRPr="00884FEC" w:rsidTr="00B66A9C">
        <w:trPr>
          <w:trHeight w:val="315"/>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lastRenderedPageBreak/>
              <w:t>INF</w:t>
            </w:r>
          </w:p>
        </w:tc>
        <w:tc>
          <w:tcPr>
            <w:tcW w:w="14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-3.376883</w:t>
            </w:r>
          </w:p>
        </w:tc>
        <w:tc>
          <w:tcPr>
            <w:tcW w:w="220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0.0710</w:t>
            </w:r>
          </w:p>
        </w:tc>
        <w:tc>
          <w:tcPr>
            <w:tcW w:w="143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-6.574037</w:t>
            </w:r>
          </w:p>
        </w:tc>
        <w:tc>
          <w:tcPr>
            <w:tcW w:w="354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0.0000*</w:t>
            </w:r>
          </w:p>
        </w:tc>
      </w:tr>
      <w:tr w:rsidR="00884FEC" w:rsidRPr="00884FEC" w:rsidTr="00B66A9C">
        <w:trPr>
          <w:trHeight w:val="315"/>
        </w:trPr>
        <w:tc>
          <w:tcPr>
            <w:tcW w:w="1220" w:type="dxa"/>
            <w:tcBorders>
              <w:top w:val="nil"/>
              <w:left w:val="nil"/>
              <w:bottom w:val="nil"/>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INP</w:t>
            </w:r>
          </w:p>
        </w:tc>
        <w:tc>
          <w:tcPr>
            <w:tcW w:w="14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-1.122290</w:t>
            </w:r>
          </w:p>
        </w:tc>
        <w:tc>
          <w:tcPr>
            <w:tcW w:w="220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0.9106</w:t>
            </w:r>
          </w:p>
        </w:tc>
        <w:tc>
          <w:tcPr>
            <w:tcW w:w="1433"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-4.297919</w:t>
            </w:r>
          </w:p>
        </w:tc>
        <w:tc>
          <w:tcPr>
            <w:tcW w:w="354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0.0090*</w:t>
            </w:r>
          </w:p>
        </w:tc>
      </w:tr>
      <w:tr w:rsidR="00884FEC" w:rsidRPr="00884FEC" w:rsidTr="00B66A9C">
        <w:trPr>
          <w:trHeight w:val="330"/>
        </w:trPr>
        <w:tc>
          <w:tcPr>
            <w:tcW w:w="1220" w:type="dxa"/>
            <w:tcBorders>
              <w:top w:val="nil"/>
              <w:left w:val="nil"/>
              <w:bottom w:val="double" w:sz="6" w:space="0" w:color="auto"/>
              <w:right w:val="nil"/>
            </w:tcBorders>
            <w:shd w:val="clear" w:color="auto" w:fill="auto"/>
            <w:noWrap/>
            <w:vAlign w:val="bottom"/>
            <w:hideMark/>
          </w:tcPr>
          <w:p w:rsidR="00884FEC" w:rsidRPr="00884FEC" w:rsidRDefault="00884FEC" w:rsidP="00B66A9C">
            <w:pPr>
              <w:rPr>
                <w:b/>
                <w:bCs/>
                <w:color w:val="000000" w:themeColor="text1"/>
              </w:rPr>
            </w:pPr>
            <w:r w:rsidRPr="00884FEC">
              <w:rPr>
                <w:b/>
                <w:bCs/>
                <w:color w:val="000000" w:themeColor="text1"/>
              </w:rPr>
              <w:t>ENPL</w:t>
            </w:r>
          </w:p>
        </w:tc>
        <w:tc>
          <w:tcPr>
            <w:tcW w:w="1400" w:type="dxa"/>
            <w:tcBorders>
              <w:top w:val="nil"/>
              <w:left w:val="nil"/>
              <w:bottom w:val="double" w:sz="6"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0.051360</w:t>
            </w:r>
          </w:p>
        </w:tc>
        <w:tc>
          <w:tcPr>
            <w:tcW w:w="2203" w:type="dxa"/>
            <w:tcBorders>
              <w:top w:val="nil"/>
              <w:left w:val="nil"/>
              <w:bottom w:val="double" w:sz="6"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0.9954</w:t>
            </w:r>
          </w:p>
        </w:tc>
        <w:tc>
          <w:tcPr>
            <w:tcW w:w="1433" w:type="dxa"/>
            <w:tcBorders>
              <w:top w:val="nil"/>
              <w:left w:val="nil"/>
              <w:bottom w:val="double" w:sz="6"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-5.348255</w:t>
            </w:r>
          </w:p>
        </w:tc>
        <w:tc>
          <w:tcPr>
            <w:tcW w:w="3545" w:type="dxa"/>
            <w:tcBorders>
              <w:top w:val="nil"/>
              <w:left w:val="nil"/>
              <w:bottom w:val="double" w:sz="6"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0.0006*</w:t>
            </w:r>
          </w:p>
        </w:tc>
      </w:tr>
    </w:tbl>
    <w:p w:rsidR="00884FEC" w:rsidRPr="00884FEC" w:rsidRDefault="00884FEC" w:rsidP="00884FEC">
      <w:pPr>
        <w:jc w:val="both"/>
        <w:rPr>
          <w:color w:val="000000" w:themeColor="text1"/>
        </w:rPr>
      </w:pPr>
      <w:r w:rsidRPr="00884FEC">
        <w:rPr>
          <w:b/>
          <w:bCs/>
          <w:color w:val="000000" w:themeColor="text1"/>
        </w:rPr>
        <w:t xml:space="preserve">Source: </w:t>
      </w:r>
      <w:r w:rsidRPr="00884FEC">
        <w:rPr>
          <w:color w:val="000000" w:themeColor="text1"/>
        </w:rPr>
        <w:t>Author’s Computation, 2023</w:t>
      </w:r>
    </w:p>
    <w:p w:rsidR="00884FEC" w:rsidRPr="00884FEC" w:rsidRDefault="00884FEC" w:rsidP="00884FEC">
      <w:pPr>
        <w:spacing w:line="360" w:lineRule="auto"/>
        <w:jc w:val="both"/>
        <w:rPr>
          <w:b/>
          <w:color w:val="000000" w:themeColor="text1"/>
        </w:rPr>
      </w:pPr>
      <w:r w:rsidRPr="00884FEC">
        <w:rPr>
          <w:b/>
          <w:color w:val="000000" w:themeColor="text1"/>
        </w:rPr>
        <w:t xml:space="preserve">Note: * &amp; ** </w:t>
      </w:r>
      <w:r w:rsidRPr="00884FEC">
        <w:rPr>
          <w:color w:val="000000" w:themeColor="text1"/>
        </w:rPr>
        <w:t>indicate Stationary at 1% and 5% level of significant respectively.</w:t>
      </w:r>
    </w:p>
    <w:p w:rsidR="00884FEC" w:rsidRPr="00AB0CD4" w:rsidRDefault="00884FEC" w:rsidP="00884FEC">
      <w:pPr>
        <w:autoSpaceDE w:val="0"/>
        <w:autoSpaceDN w:val="0"/>
        <w:adjustRightInd w:val="0"/>
        <w:spacing w:line="360" w:lineRule="auto"/>
        <w:jc w:val="both"/>
        <w:rPr>
          <w:color w:val="000000" w:themeColor="text1"/>
        </w:rPr>
      </w:pPr>
      <w:r w:rsidRPr="00884FEC">
        <w:rPr>
          <w:color w:val="000000" w:themeColor="text1"/>
        </w:rPr>
        <w:t>Table 1 presents the unit root tests using ADF and PP tests with trend and intercept. The results of ADF unit root tests indicate that, RGDP and INF were stationary at level at 1% and 5% level of significance, while ELC, INP and EMP were stationary at first difference at 1% level of significance and 5% level of significance at first difference. The results of PP unit root tests show that, all the series under study except RGDP were stationary at first difference at 1% level of significance while RGDP was stationary at first difference at 5% level of significance. Therefore, an examination of table 2 reveals that, the series are mixture of order of integration as some variables were stationary at first difference and are thus characterized as</w:t>
      </w:r>
      <w:r w:rsidRPr="00884FEC">
        <w:rPr>
          <w:i/>
          <w:color w:val="000000" w:themeColor="text1"/>
        </w:rPr>
        <w:t xml:space="preserve"> I (1)</w:t>
      </w:r>
      <w:r w:rsidRPr="00884FEC">
        <w:rPr>
          <w:color w:val="000000" w:themeColor="text1"/>
        </w:rPr>
        <w:t xml:space="preserve"> processes, while others were stationary at level and are thus characterized as</w:t>
      </w:r>
      <w:r w:rsidRPr="00884FEC">
        <w:rPr>
          <w:i/>
          <w:color w:val="000000" w:themeColor="text1"/>
        </w:rPr>
        <w:t xml:space="preserve"> I (0)</w:t>
      </w:r>
      <w:r w:rsidRPr="00884FEC">
        <w:rPr>
          <w:color w:val="000000" w:themeColor="text1"/>
        </w:rPr>
        <w:t xml:space="preserve"> process. This mixture of </w:t>
      </w:r>
      <w:r w:rsidRPr="00884FEC">
        <w:rPr>
          <w:i/>
          <w:color w:val="000000" w:themeColor="text1"/>
        </w:rPr>
        <w:t>I (1)</w:t>
      </w:r>
      <w:r w:rsidRPr="00884FEC">
        <w:rPr>
          <w:color w:val="000000" w:themeColor="text1"/>
        </w:rPr>
        <w:t xml:space="preserve"> and </w:t>
      </w:r>
      <w:r w:rsidRPr="00884FEC">
        <w:rPr>
          <w:i/>
          <w:color w:val="000000" w:themeColor="text1"/>
        </w:rPr>
        <w:t>I (0)</w:t>
      </w:r>
      <w:r w:rsidRPr="00884FEC">
        <w:rPr>
          <w:color w:val="000000" w:themeColor="text1"/>
        </w:rPr>
        <w:t xml:space="preserve"> processes justified the used of ARDL model in this research to check the cointegration due to its advantage over other estimators. As one of the requirement for using ARDL model is that, some variables should be </w:t>
      </w:r>
      <w:r w:rsidRPr="00884FEC">
        <w:rPr>
          <w:i/>
          <w:color w:val="000000" w:themeColor="text1"/>
        </w:rPr>
        <w:t>I(0</w:t>
      </w:r>
      <w:r w:rsidRPr="00884FEC">
        <w:rPr>
          <w:color w:val="000000" w:themeColor="text1"/>
        </w:rPr>
        <w:t xml:space="preserve">) while other variables should be  </w:t>
      </w:r>
      <w:r w:rsidRPr="00884FEC">
        <w:rPr>
          <w:i/>
          <w:color w:val="000000" w:themeColor="text1"/>
        </w:rPr>
        <w:t>I(1)</w:t>
      </w:r>
      <w:r w:rsidRPr="00884FEC">
        <w:rPr>
          <w:color w:val="000000" w:themeColor="text1"/>
        </w:rPr>
        <w:t xml:space="preserve">and none of the variable should be </w:t>
      </w:r>
      <w:r w:rsidRPr="00884FEC">
        <w:rPr>
          <w:i/>
          <w:color w:val="000000" w:themeColor="text1"/>
        </w:rPr>
        <w:t>I(2)</w:t>
      </w:r>
      <w:r w:rsidRPr="00884FEC">
        <w:rPr>
          <w:color w:val="000000" w:themeColor="text1"/>
        </w:rPr>
        <w:t>. Since the variables found to have characteristic of both I(0) and I(1), the next step of the study estimates the short-run and long-run elasticity based on the optimal lag model ARDL (2,2,1,1,1) selected using the Akaike information criterion shown in figure 1.</w:t>
      </w: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265024" w:rsidRDefault="00265024" w:rsidP="00884FEC">
      <w:pPr>
        <w:autoSpaceDE w:val="0"/>
        <w:autoSpaceDN w:val="0"/>
        <w:adjustRightInd w:val="0"/>
        <w:spacing w:line="360" w:lineRule="auto"/>
        <w:jc w:val="both"/>
        <w:rPr>
          <w:b/>
          <w:color w:val="000000" w:themeColor="text1"/>
        </w:rPr>
      </w:pPr>
    </w:p>
    <w:p w:rsidR="00884FEC" w:rsidRPr="00884FEC" w:rsidRDefault="00884FEC" w:rsidP="00884FEC">
      <w:pPr>
        <w:autoSpaceDE w:val="0"/>
        <w:autoSpaceDN w:val="0"/>
        <w:adjustRightInd w:val="0"/>
        <w:spacing w:line="360" w:lineRule="auto"/>
        <w:jc w:val="both"/>
        <w:rPr>
          <w:color w:val="000000" w:themeColor="text1"/>
        </w:rPr>
      </w:pPr>
      <w:r w:rsidRPr="00884FEC">
        <w:rPr>
          <w:b/>
          <w:color w:val="000000" w:themeColor="text1"/>
        </w:rPr>
        <w:lastRenderedPageBreak/>
        <w:t>Figure 1: Model selection using Akaike Information Criterion</w:t>
      </w:r>
    </w:p>
    <w:p w:rsidR="00884FEC" w:rsidRPr="00884FEC" w:rsidRDefault="00884FEC" w:rsidP="00884FEC">
      <w:pPr>
        <w:spacing w:before="240" w:line="360" w:lineRule="auto"/>
        <w:jc w:val="both"/>
        <w:rPr>
          <w:b/>
          <w:color w:val="000000" w:themeColor="text1"/>
        </w:rPr>
      </w:pPr>
      <w:r w:rsidRPr="00884FEC">
        <w:rPr>
          <w:color w:val="000000" w:themeColor="text1"/>
        </w:rPr>
        <w:object w:dxaOrig="7501" w:dyaOrig="6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86.75pt" o:ole="">
            <v:imagedata r:id="rId21" o:title=""/>
          </v:shape>
          <o:OLEObject Type="Embed" ProgID="EViews.Workfile.2" ShapeID="_x0000_i1025" DrawAspect="Content" ObjectID="_1741345880" r:id="rId22"/>
        </w:object>
      </w:r>
    </w:p>
    <w:p w:rsidR="00884FEC" w:rsidRPr="00884FEC" w:rsidRDefault="00884FEC" w:rsidP="00884FEC">
      <w:pPr>
        <w:spacing w:before="240" w:line="360" w:lineRule="auto"/>
        <w:jc w:val="both"/>
        <w:rPr>
          <w:b/>
          <w:color w:val="000000" w:themeColor="text1"/>
        </w:rPr>
      </w:pPr>
      <w:r w:rsidRPr="00884FEC">
        <w:rPr>
          <w:b/>
          <w:bCs/>
          <w:color w:val="000000" w:themeColor="text1"/>
        </w:rPr>
        <w:t xml:space="preserve">Source: </w:t>
      </w:r>
      <w:r w:rsidRPr="00884FEC">
        <w:rPr>
          <w:color w:val="000000" w:themeColor="text1"/>
        </w:rPr>
        <w:t>Author’s Computation, 2023.</w:t>
      </w:r>
    </w:p>
    <w:p w:rsidR="00884FEC" w:rsidRPr="00884FEC" w:rsidRDefault="00884FEC" w:rsidP="00884FEC">
      <w:pPr>
        <w:autoSpaceDE w:val="0"/>
        <w:autoSpaceDN w:val="0"/>
        <w:adjustRightInd w:val="0"/>
        <w:spacing w:line="360" w:lineRule="auto"/>
        <w:jc w:val="both"/>
        <w:rPr>
          <w:b/>
          <w:color w:val="000000" w:themeColor="text1"/>
        </w:rPr>
      </w:pPr>
      <w:r w:rsidRPr="00884FEC">
        <w:rPr>
          <w:b/>
          <w:color w:val="000000" w:themeColor="text1"/>
        </w:rPr>
        <w:t>4.2. ARDL Co-integration Analysis</w:t>
      </w:r>
    </w:p>
    <w:p w:rsidR="00884FEC" w:rsidRPr="00884FEC" w:rsidRDefault="00884FEC" w:rsidP="00884FEC">
      <w:pPr>
        <w:autoSpaceDE w:val="0"/>
        <w:autoSpaceDN w:val="0"/>
        <w:adjustRightInd w:val="0"/>
        <w:spacing w:line="360" w:lineRule="auto"/>
        <w:jc w:val="both"/>
        <w:rPr>
          <w:color w:val="000000" w:themeColor="text1"/>
        </w:rPr>
      </w:pPr>
      <w:r w:rsidRPr="00884FEC">
        <w:rPr>
          <w:color w:val="000000" w:themeColor="text1"/>
        </w:rPr>
        <w:t>After selecting the optimal lag model to be used in the ARDL regression analysis, this research examines the co-integration among the variables using the ARDL bounds test based on the null hypothesis of no long-run relationship. Evidence from Table 2 shows that the F-statistic value (</w:t>
      </w:r>
      <w:r w:rsidRPr="00884FEC">
        <w:rPr>
          <w:color w:val="000000" w:themeColor="text1"/>
          <w:sz w:val="18"/>
          <w:szCs w:val="18"/>
        </w:rPr>
        <w:t>  11.33</w:t>
      </w:r>
      <w:r w:rsidRPr="00884FEC">
        <w:rPr>
          <w:color w:val="000000" w:themeColor="text1"/>
        </w:rPr>
        <w:t>&gt; I1 Bound) lies above the upper bound critical values at 10%, 5%, 2.5%, and 1%, rejecting the null hypothesis of no long run relationship exist at 1% level of significance and concluded that, the variables under study are co integration in the long run.</w:t>
      </w:r>
    </w:p>
    <w:p w:rsidR="00884FEC" w:rsidRPr="00884FEC" w:rsidRDefault="00884FEC" w:rsidP="00884FEC">
      <w:pPr>
        <w:autoSpaceDE w:val="0"/>
        <w:autoSpaceDN w:val="0"/>
        <w:adjustRightInd w:val="0"/>
        <w:spacing w:line="360" w:lineRule="auto"/>
        <w:jc w:val="both"/>
        <w:rPr>
          <w:b/>
          <w:color w:val="000000" w:themeColor="text1"/>
        </w:rPr>
      </w:pPr>
      <w:r w:rsidRPr="00884FEC">
        <w:rPr>
          <w:b/>
          <w:color w:val="000000" w:themeColor="text1"/>
        </w:rPr>
        <w:t>Table 2 ARDL Bounds Test</w:t>
      </w:r>
    </w:p>
    <w:tbl>
      <w:tblPr>
        <w:tblW w:w="9840" w:type="dxa"/>
        <w:tblInd w:w="93" w:type="dxa"/>
        <w:tblLook w:val="04A0" w:firstRow="1" w:lastRow="0" w:firstColumn="1" w:lastColumn="0" w:noHBand="0" w:noVBand="1"/>
      </w:tblPr>
      <w:tblGrid>
        <w:gridCol w:w="1740"/>
        <w:gridCol w:w="2020"/>
        <w:gridCol w:w="1295"/>
        <w:gridCol w:w="1785"/>
        <w:gridCol w:w="3000"/>
      </w:tblGrid>
      <w:tr w:rsidR="00884FEC" w:rsidRPr="00884FEC" w:rsidTr="00B66A9C">
        <w:trPr>
          <w:trHeight w:val="420"/>
        </w:trPr>
        <w:tc>
          <w:tcPr>
            <w:tcW w:w="1740" w:type="dxa"/>
            <w:tcBorders>
              <w:top w:val="single" w:sz="4" w:space="0" w:color="auto"/>
              <w:left w:val="nil"/>
              <w:bottom w:val="single" w:sz="4" w:space="0" w:color="auto"/>
              <w:right w:val="nil"/>
            </w:tcBorders>
            <w:shd w:val="clear" w:color="auto" w:fill="auto"/>
            <w:hideMark/>
          </w:tcPr>
          <w:p w:rsidR="00884FEC" w:rsidRPr="00884FEC" w:rsidRDefault="00884FEC" w:rsidP="00B66A9C">
            <w:pPr>
              <w:jc w:val="center"/>
              <w:rPr>
                <w:b/>
                <w:bCs/>
                <w:color w:val="000000" w:themeColor="text1"/>
              </w:rPr>
            </w:pPr>
            <w:r w:rsidRPr="00884FEC">
              <w:rPr>
                <w:b/>
                <w:bCs/>
                <w:color w:val="000000" w:themeColor="text1"/>
              </w:rPr>
              <w:t>F-statistic</w:t>
            </w:r>
          </w:p>
        </w:tc>
        <w:tc>
          <w:tcPr>
            <w:tcW w:w="2020" w:type="dxa"/>
            <w:tcBorders>
              <w:top w:val="single" w:sz="4" w:space="0" w:color="auto"/>
              <w:left w:val="nil"/>
              <w:bottom w:val="single" w:sz="4" w:space="0" w:color="auto"/>
              <w:right w:val="nil"/>
            </w:tcBorders>
            <w:shd w:val="clear" w:color="auto" w:fill="auto"/>
            <w:hideMark/>
          </w:tcPr>
          <w:p w:rsidR="00884FEC" w:rsidRPr="00884FEC" w:rsidRDefault="00884FEC" w:rsidP="00B66A9C">
            <w:pPr>
              <w:jc w:val="center"/>
              <w:rPr>
                <w:b/>
                <w:bCs/>
                <w:color w:val="000000" w:themeColor="text1"/>
              </w:rPr>
            </w:pPr>
            <w:r w:rsidRPr="00884FEC">
              <w:rPr>
                <w:b/>
                <w:bCs/>
                <w:color w:val="000000" w:themeColor="text1"/>
              </w:rPr>
              <w:t>Significance</w:t>
            </w:r>
          </w:p>
        </w:tc>
        <w:tc>
          <w:tcPr>
            <w:tcW w:w="1295" w:type="dxa"/>
            <w:tcBorders>
              <w:top w:val="single" w:sz="4" w:space="0" w:color="auto"/>
              <w:left w:val="nil"/>
              <w:bottom w:val="single" w:sz="4" w:space="0" w:color="auto"/>
              <w:right w:val="nil"/>
            </w:tcBorders>
            <w:shd w:val="clear" w:color="auto" w:fill="auto"/>
            <w:hideMark/>
          </w:tcPr>
          <w:p w:rsidR="00884FEC" w:rsidRPr="00884FEC" w:rsidRDefault="00884FEC" w:rsidP="00B66A9C">
            <w:pPr>
              <w:jc w:val="center"/>
              <w:rPr>
                <w:b/>
                <w:bCs/>
                <w:color w:val="000000" w:themeColor="text1"/>
              </w:rPr>
            </w:pPr>
            <w:r w:rsidRPr="00884FEC">
              <w:rPr>
                <w:b/>
                <w:bCs/>
                <w:color w:val="000000" w:themeColor="text1"/>
              </w:rPr>
              <w:t>I0 Bound</w:t>
            </w:r>
          </w:p>
        </w:tc>
        <w:tc>
          <w:tcPr>
            <w:tcW w:w="1785" w:type="dxa"/>
            <w:tcBorders>
              <w:top w:val="single" w:sz="4" w:space="0" w:color="auto"/>
              <w:left w:val="nil"/>
              <w:bottom w:val="single" w:sz="4" w:space="0" w:color="auto"/>
              <w:right w:val="nil"/>
            </w:tcBorders>
            <w:shd w:val="clear" w:color="auto" w:fill="auto"/>
            <w:hideMark/>
          </w:tcPr>
          <w:p w:rsidR="00884FEC" w:rsidRPr="00884FEC" w:rsidRDefault="00884FEC" w:rsidP="00B66A9C">
            <w:pPr>
              <w:jc w:val="center"/>
              <w:rPr>
                <w:b/>
                <w:bCs/>
                <w:color w:val="000000" w:themeColor="text1"/>
              </w:rPr>
            </w:pPr>
            <w:r w:rsidRPr="00884FEC">
              <w:rPr>
                <w:b/>
                <w:bCs/>
                <w:color w:val="000000" w:themeColor="text1"/>
              </w:rPr>
              <w:t>I1 Bound</w:t>
            </w:r>
          </w:p>
        </w:tc>
        <w:tc>
          <w:tcPr>
            <w:tcW w:w="3000" w:type="dxa"/>
            <w:tcBorders>
              <w:top w:val="single" w:sz="4" w:space="0" w:color="auto"/>
              <w:left w:val="nil"/>
              <w:bottom w:val="single" w:sz="4" w:space="0" w:color="auto"/>
              <w:right w:val="nil"/>
            </w:tcBorders>
            <w:shd w:val="clear" w:color="auto" w:fill="auto"/>
            <w:hideMark/>
          </w:tcPr>
          <w:p w:rsidR="00884FEC" w:rsidRPr="00884FEC" w:rsidRDefault="00884FEC" w:rsidP="00B66A9C">
            <w:pPr>
              <w:jc w:val="center"/>
              <w:rPr>
                <w:b/>
                <w:bCs/>
                <w:color w:val="000000" w:themeColor="text1"/>
              </w:rPr>
            </w:pPr>
            <w:r w:rsidRPr="00884FEC">
              <w:rPr>
                <w:b/>
                <w:bCs/>
                <w:color w:val="000000" w:themeColor="text1"/>
              </w:rPr>
              <w:t>Null Hypotheses</w:t>
            </w:r>
          </w:p>
        </w:tc>
      </w:tr>
      <w:tr w:rsidR="00884FEC" w:rsidRPr="00884FEC" w:rsidTr="00B66A9C">
        <w:trPr>
          <w:trHeight w:val="390"/>
        </w:trPr>
        <w:tc>
          <w:tcPr>
            <w:tcW w:w="1740" w:type="dxa"/>
            <w:tcBorders>
              <w:top w:val="nil"/>
              <w:left w:val="nil"/>
              <w:bottom w:val="nil"/>
              <w:right w:val="nil"/>
            </w:tcBorders>
            <w:shd w:val="clear" w:color="auto" w:fill="auto"/>
            <w:noWrap/>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  </w:t>
            </w:r>
            <w:r w:rsidRPr="00884FEC">
              <w:rPr>
                <w:color w:val="000000" w:themeColor="text1"/>
                <w:sz w:val="18"/>
                <w:szCs w:val="18"/>
              </w:rPr>
              <w:t>11.32924</w:t>
            </w:r>
          </w:p>
        </w:tc>
        <w:tc>
          <w:tcPr>
            <w:tcW w:w="202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10%</w:t>
            </w:r>
          </w:p>
        </w:tc>
        <w:tc>
          <w:tcPr>
            <w:tcW w:w="129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2.2</w:t>
            </w:r>
          </w:p>
        </w:tc>
        <w:tc>
          <w:tcPr>
            <w:tcW w:w="178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3.09</w:t>
            </w:r>
          </w:p>
        </w:tc>
        <w:tc>
          <w:tcPr>
            <w:tcW w:w="3000" w:type="dxa"/>
            <w:tcBorders>
              <w:top w:val="nil"/>
              <w:left w:val="nil"/>
              <w:bottom w:val="nil"/>
              <w:right w:val="nil"/>
            </w:tcBorders>
            <w:shd w:val="clear" w:color="auto" w:fill="auto"/>
            <w:hideMark/>
          </w:tcPr>
          <w:p w:rsidR="00884FEC" w:rsidRPr="00884FEC" w:rsidRDefault="00884FEC" w:rsidP="00B66A9C">
            <w:pPr>
              <w:jc w:val="center"/>
              <w:rPr>
                <w:color w:val="000000" w:themeColor="text1"/>
              </w:rPr>
            </w:pPr>
            <w:r w:rsidRPr="00884FEC">
              <w:rPr>
                <w:color w:val="000000" w:themeColor="text1"/>
              </w:rPr>
              <w:t>No long - run relationship</w:t>
            </w:r>
          </w:p>
        </w:tc>
      </w:tr>
      <w:tr w:rsidR="00884FEC" w:rsidRPr="00884FEC" w:rsidTr="00B66A9C">
        <w:trPr>
          <w:trHeight w:val="315"/>
        </w:trPr>
        <w:tc>
          <w:tcPr>
            <w:tcW w:w="1740" w:type="dxa"/>
            <w:tcBorders>
              <w:top w:val="nil"/>
              <w:left w:val="nil"/>
              <w:bottom w:val="nil"/>
              <w:right w:val="nil"/>
            </w:tcBorders>
            <w:shd w:val="clear" w:color="auto" w:fill="auto"/>
            <w:noWrap/>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K=4</w:t>
            </w:r>
          </w:p>
        </w:tc>
        <w:tc>
          <w:tcPr>
            <w:tcW w:w="202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5%</w:t>
            </w:r>
          </w:p>
        </w:tc>
        <w:tc>
          <w:tcPr>
            <w:tcW w:w="129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2.56</w:t>
            </w:r>
          </w:p>
        </w:tc>
        <w:tc>
          <w:tcPr>
            <w:tcW w:w="178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3.49</w:t>
            </w:r>
          </w:p>
        </w:tc>
        <w:tc>
          <w:tcPr>
            <w:tcW w:w="3000" w:type="dxa"/>
            <w:tcBorders>
              <w:top w:val="nil"/>
              <w:left w:val="nil"/>
              <w:bottom w:val="nil"/>
              <w:right w:val="nil"/>
            </w:tcBorders>
            <w:shd w:val="clear" w:color="auto" w:fill="auto"/>
            <w:hideMark/>
          </w:tcPr>
          <w:p w:rsidR="00884FEC" w:rsidRPr="00884FEC" w:rsidRDefault="00884FEC" w:rsidP="00B66A9C">
            <w:pPr>
              <w:jc w:val="center"/>
              <w:rPr>
                <w:color w:val="000000" w:themeColor="text1"/>
              </w:rPr>
            </w:pPr>
          </w:p>
        </w:tc>
      </w:tr>
      <w:tr w:rsidR="00884FEC" w:rsidRPr="00884FEC" w:rsidTr="00B66A9C">
        <w:trPr>
          <w:trHeight w:val="315"/>
        </w:trPr>
        <w:tc>
          <w:tcPr>
            <w:tcW w:w="1740" w:type="dxa"/>
            <w:tcBorders>
              <w:top w:val="nil"/>
              <w:left w:val="nil"/>
              <w:bottom w:val="nil"/>
              <w:right w:val="nil"/>
            </w:tcBorders>
            <w:shd w:val="clear" w:color="auto" w:fill="auto"/>
            <w:noWrap/>
            <w:vAlign w:val="bottom"/>
            <w:hideMark/>
          </w:tcPr>
          <w:p w:rsidR="00884FEC" w:rsidRPr="00884FEC" w:rsidRDefault="00884FEC" w:rsidP="00B66A9C">
            <w:pPr>
              <w:rPr>
                <w:color w:val="000000" w:themeColor="text1"/>
              </w:rPr>
            </w:pPr>
          </w:p>
        </w:tc>
        <w:tc>
          <w:tcPr>
            <w:tcW w:w="202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2.5%</w:t>
            </w:r>
          </w:p>
        </w:tc>
        <w:tc>
          <w:tcPr>
            <w:tcW w:w="129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2.88</w:t>
            </w:r>
          </w:p>
        </w:tc>
        <w:tc>
          <w:tcPr>
            <w:tcW w:w="1785"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3.87</w:t>
            </w:r>
          </w:p>
        </w:tc>
        <w:tc>
          <w:tcPr>
            <w:tcW w:w="3000" w:type="dxa"/>
            <w:tcBorders>
              <w:top w:val="nil"/>
              <w:left w:val="nil"/>
              <w:bottom w:val="nil"/>
              <w:right w:val="nil"/>
            </w:tcBorders>
            <w:shd w:val="clear" w:color="auto" w:fill="auto"/>
            <w:hideMark/>
          </w:tcPr>
          <w:p w:rsidR="00884FEC" w:rsidRPr="00884FEC" w:rsidRDefault="00884FEC" w:rsidP="00B66A9C">
            <w:pPr>
              <w:jc w:val="center"/>
              <w:rPr>
                <w:color w:val="000000" w:themeColor="text1"/>
              </w:rPr>
            </w:pPr>
          </w:p>
        </w:tc>
      </w:tr>
      <w:tr w:rsidR="00884FEC" w:rsidRPr="00884FEC" w:rsidTr="00B66A9C">
        <w:trPr>
          <w:trHeight w:val="300"/>
        </w:trPr>
        <w:tc>
          <w:tcPr>
            <w:tcW w:w="1740" w:type="dxa"/>
            <w:tcBorders>
              <w:top w:val="nil"/>
              <w:left w:val="nil"/>
              <w:bottom w:val="single" w:sz="4" w:space="0" w:color="auto"/>
              <w:right w:val="nil"/>
            </w:tcBorders>
            <w:shd w:val="clear" w:color="auto" w:fill="auto"/>
            <w:noWrap/>
            <w:vAlign w:val="bottom"/>
            <w:hideMark/>
          </w:tcPr>
          <w:p w:rsidR="00884FEC" w:rsidRPr="00884FEC" w:rsidRDefault="00884FEC" w:rsidP="00B66A9C">
            <w:pPr>
              <w:rPr>
                <w:color w:val="000000" w:themeColor="text1"/>
              </w:rPr>
            </w:pPr>
            <w:r w:rsidRPr="00884FEC">
              <w:rPr>
                <w:color w:val="000000" w:themeColor="text1"/>
              </w:rPr>
              <w:t> </w:t>
            </w:r>
          </w:p>
        </w:tc>
        <w:tc>
          <w:tcPr>
            <w:tcW w:w="2020" w:type="dxa"/>
            <w:tcBorders>
              <w:top w:val="nil"/>
              <w:left w:val="nil"/>
              <w:bottom w:val="single" w:sz="4"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1%*</w:t>
            </w:r>
          </w:p>
        </w:tc>
        <w:tc>
          <w:tcPr>
            <w:tcW w:w="1295" w:type="dxa"/>
            <w:tcBorders>
              <w:top w:val="nil"/>
              <w:left w:val="nil"/>
              <w:bottom w:val="single" w:sz="4"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3.29</w:t>
            </w:r>
          </w:p>
        </w:tc>
        <w:tc>
          <w:tcPr>
            <w:tcW w:w="1785" w:type="dxa"/>
            <w:tcBorders>
              <w:top w:val="nil"/>
              <w:left w:val="nil"/>
              <w:bottom w:val="single" w:sz="4" w:space="0" w:color="auto"/>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4.37</w:t>
            </w:r>
          </w:p>
        </w:tc>
        <w:tc>
          <w:tcPr>
            <w:tcW w:w="3000" w:type="dxa"/>
            <w:tcBorders>
              <w:top w:val="nil"/>
              <w:left w:val="nil"/>
              <w:bottom w:val="single" w:sz="4" w:space="0" w:color="auto"/>
              <w:right w:val="nil"/>
            </w:tcBorders>
            <w:shd w:val="clear" w:color="auto" w:fill="auto"/>
            <w:hideMark/>
          </w:tcPr>
          <w:p w:rsidR="00884FEC" w:rsidRPr="00884FEC" w:rsidRDefault="00884FEC" w:rsidP="00B66A9C">
            <w:pPr>
              <w:jc w:val="center"/>
              <w:rPr>
                <w:color w:val="000000" w:themeColor="text1"/>
              </w:rPr>
            </w:pPr>
            <w:r w:rsidRPr="00884FEC">
              <w:rPr>
                <w:color w:val="000000" w:themeColor="text1"/>
              </w:rPr>
              <w:t> </w:t>
            </w:r>
          </w:p>
        </w:tc>
      </w:tr>
    </w:tbl>
    <w:p w:rsidR="00884FEC" w:rsidRPr="00884FEC" w:rsidRDefault="00884FEC" w:rsidP="00884FEC">
      <w:pPr>
        <w:spacing w:line="360" w:lineRule="auto"/>
        <w:jc w:val="both"/>
        <w:rPr>
          <w:i/>
          <w:color w:val="000000" w:themeColor="text1"/>
        </w:rPr>
      </w:pPr>
      <w:r w:rsidRPr="00884FEC">
        <w:rPr>
          <w:color w:val="000000" w:themeColor="text1"/>
        </w:rPr>
        <w:t>Note: *</w:t>
      </w:r>
      <w:r w:rsidRPr="00884FEC">
        <w:rPr>
          <w:i/>
          <w:color w:val="000000" w:themeColor="text1"/>
        </w:rPr>
        <w:t>Denotes rejection of the null hypothesis at 1% significance level</w:t>
      </w:r>
    </w:p>
    <w:p w:rsidR="00884FEC" w:rsidRPr="00884FEC" w:rsidRDefault="00884FEC" w:rsidP="00884FEC">
      <w:pPr>
        <w:spacing w:line="360" w:lineRule="auto"/>
        <w:jc w:val="both"/>
        <w:rPr>
          <w:i/>
          <w:color w:val="000000" w:themeColor="text1"/>
        </w:rPr>
      </w:pPr>
      <w:r w:rsidRPr="00884FEC">
        <w:rPr>
          <w:b/>
          <w:bCs/>
          <w:color w:val="000000" w:themeColor="text1"/>
        </w:rPr>
        <w:t xml:space="preserve">Source: </w:t>
      </w:r>
      <w:r w:rsidRPr="00884FEC">
        <w:rPr>
          <w:color w:val="000000" w:themeColor="text1"/>
        </w:rPr>
        <w:t>Author’s Computation, 2023.</w:t>
      </w:r>
    </w:p>
    <w:p w:rsidR="00884FEC" w:rsidRPr="00884FEC" w:rsidRDefault="00884FEC" w:rsidP="00884FEC">
      <w:pPr>
        <w:autoSpaceDE w:val="0"/>
        <w:autoSpaceDN w:val="0"/>
        <w:adjustRightInd w:val="0"/>
        <w:spacing w:line="360" w:lineRule="auto"/>
        <w:ind w:right="10"/>
        <w:jc w:val="both"/>
        <w:rPr>
          <w:color w:val="000000" w:themeColor="text1"/>
        </w:rPr>
      </w:pPr>
      <w:r w:rsidRPr="00884FEC">
        <w:rPr>
          <w:color w:val="000000" w:themeColor="text1"/>
        </w:rPr>
        <w:t xml:space="preserve">Since the variables are </w:t>
      </w:r>
      <w:r w:rsidR="000965B9" w:rsidRPr="00884FEC">
        <w:rPr>
          <w:color w:val="000000" w:themeColor="text1"/>
        </w:rPr>
        <w:t>cointegrated</w:t>
      </w:r>
      <w:r w:rsidRPr="00884FEC">
        <w:rPr>
          <w:color w:val="000000" w:themeColor="text1"/>
        </w:rPr>
        <w:t xml:space="preserve">, the study estimated the short run and long run elasticity, which is shown in table 3. The result indicates that the speed of adjustment [ECT (-1) = -0.01 with P- Value =0.0000] is negative and statically significant at 1%, confirming the expected equilibrium process in the short run dynamics among the variables under study. </w:t>
      </w:r>
    </w:p>
    <w:p w:rsidR="002C756D" w:rsidRPr="00265024" w:rsidRDefault="00884FEC" w:rsidP="00265024">
      <w:pPr>
        <w:autoSpaceDE w:val="0"/>
        <w:autoSpaceDN w:val="0"/>
        <w:adjustRightInd w:val="0"/>
        <w:spacing w:line="360" w:lineRule="auto"/>
        <w:ind w:right="10"/>
        <w:jc w:val="both"/>
        <w:rPr>
          <w:color w:val="000000" w:themeColor="text1"/>
        </w:rPr>
      </w:pPr>
      <w:r w:rsidRPr="00884FEC">
        <w:rPr>
          <w:color w:val="000000" w:themeColor="text1"/>
        </w:rPr>
        <w:lastRenderedPageBreak/>
        <w:t>Table 3 presents both the short run and long run dynamic of the ARDL model. The result reveals that in the short run Electricity Consumption (ELC), Inflation (INF) and Industrial Product (INP) are statistically significance at 1% level and have a positive impact on Economic Growth (RGDP) in Nigeria, while Unemployment (UNPL) is statistically significance at 1% level and have negative impact on Economic growth in Nigeria respectively. In the long run also the results reveal Electricity Consumption (ELC), Inflation (INF) and Industrial Product (INP) are statistically significance at 1%  and 5% level of significance and have a positive impact on Economic Growth (RGDP) in Nigeria, while Unemployment (UNPL) is statistically significance at 5% level and have negative impact on Economic growth in Nigeria respectively.</w:t>
      </w:r>
    </w:p>
    <w:p w:rsidR="00884FEC" w:rsidRPr="00884FEC" w:rsidRDefault="00884FEC" w:rsidP="00884FEC">
      <w:pPr>
        <w:spacing w:line="360" w:lineRule="auto"/>
        <w:jc w:val="both"/>
        <w:rPr>
          <w:b/>
          <w:color w:val="000000" w:themeColor="text1"/>
        </w:rPr>
      </w:pPr>
      <w:r w:rsidRPr="00884FEC">
        <w:rPr>
          <w:b/>
          <w:color w:val="000000" w:themeColor="text1"/>
        </w:rPr>
        <w:t>Table 3 ARDL Cointegration Result</w:t>
      </w:r>
    </w:p>
    <w:tbl>
      <w:tblPr>
        <w:tblW w:w="8888" w:type="dxa"/>
        <w:tblInd w:w="94" w:type="dxa"/>
        <w:tblLook w:val="04A0" w:firstRow="1" w:lastRow="0" w:firstColumn="1" w:lastColumn="0" w:noHBand="0" w:noVBand="1"/>
      </w:tblPr>
      <w:tblGrid>
        <w:gridCol w:w="1634"/>
        <w:gridCol w:w="1530"/>
        <w:gridCol w:w="2340"/>
        <w:gridCol w:w="1800"/>
        <w:gridCol w:w="1584"/>
      </w:tblGrid>
      <w:tr w:rsidR="00884FEC" w:rsidRPr="00884FEC" w:rsidTr="00B66A9C">
        <w:trPr>
          <w:trHeight w:val="315"/>
        </w:trPr>
        <w:tc>
          <w:tcPr>
            <w:tcW w:w="8888" w:type="dxa"/>
            <w:gridSpan w:val="5"/>
            <w:tcBorders>
              <w:top w:val="nil"/>
              <w:left w:val="nil"/>
              <w:bottom w:val="nil"/>
              <w:right w:val="nil"/>
            </w:tcBorders>
            <w:shd w:val="clear" w:color="auto" w:fill="auto"/>
            <w:vAlign w:val="bottom"/>
            <w:hideMark/>
          </w:tcPr>
          <w:p w:rsidR="00884FEC" w:rsidRPr="00884FEC" w:rsidRDefault="00884FEC" w:rsidP="00B66A9C">
            <w:pPr>
              <w:spacing w:line="360" w:lineRule="auto"/>
              <w:jc w:val="center"/>
              <w:rPr>
                <w:color w:val="000000" w:themeColor="text1"/>
              </w:rPr>
            </w:pPr>
            <w:r w:rsidRPr="00884FEC">
              <w:rPr>
                <w:color w:val="000000" w:themeColor="text1"/>
              </w:rPr>
              <w:t>Cointegrating Form</w:t>
            </w:r>
          </w:p>
        </w:tc>
      </w:tr>
      <w:tr w:rsidR="00884FEC" w:rsidRPr="00884FEC" w:rsidTr="00B66A9C">
        <w:trPr>
          <w:trHeight w:hRule="exact" w:val="105"/>
        </w:trPr>
        <w:tc>
          <w:tcPr>
            <w:tcW w:w="1634" w:type="dxa"/>
            <w:tcBorders>
              <w:top w:val="nil"/>
              <w:left w:val="nil"/>
              <w:bottom w:val="double" w:sz="6" w:space="0" w:color="auto"/>
              <w:right w:val="nil"/>
            </w:tcBorders>
            <w:shd w:val="clear" w:color="auto" w:fill="auto"/>
            <w:vAlign w:val="bottom"/>
            <w:hideMark/>
          </w:tcPr>
          <w:p w:rsidR="00884FEC" w:rsidRPr="00884FEC" w:rsidRDefault="00884FEC" w:rsidP="00B66A9C">
            <w:pPr>
              <w:spacing w:line="360" w:lineRule="auto"/>
              <w:jc w:val="center"/>
              <w:rPr>
                <w:color w:val="000000" w:themeColor="text1"/>
              </w:rPr>
            </w:pPr>
            <w:r w:rsidRPr="00884FEC">
              <w:rPr>
                <w:color w:val="000000" w:themeColor="text1"/>
              </w:rPr>
              <w:t> </w:t>
            </w:r>
          </w:p>
        </w:tc>
        <w:tc>
          <w:tcPr>
            <w:tcW w:w="1530" w:type="dxa"/>
            <w:tcBorders>
              <w:top w:val="nil"/>
              <w:left w:val="nil"/>
              <w:bottom w:val="double" w:sz="6" w:space="0" w:color="auto"/>
              <w:right w:val="nil"/>
            </w:tcBorders>
            <w:shd w:val="clear" w:color="auto" w:fill="auto"/>
            <w:vAlign w:val="bottom"/>
            <w:hideMark/>
          </w:tcPr>
          <w:p w:rsidR="00884FEC" w:rsidRPr="00884FEC" w:rsidRDefault="00884FEC" w:rsidP="00B66A9C">
            <w:pPr>
              <w:spacing w:line="360" w:lineRule="auto"/>
              <w:jc w:val="center"/>
              <w:rPr>
                <w:color w:val="000000" w:themeColor="text1"/>
              </w:rPr>
            </w:pPr>
            <w:r w:rsidRPr="00884FEC">
              <w:rPr>
                <w:color w:val="000000" w:themeColor="text1"/>
              </w:rPr>
              <w:t> </w:t>
            </w:r>
          </w:p>
        </w:tc>
        <w:tc>
          <w:tcPr>
            <w:tcW w:w="2340" w:type="dxa"/>
            <w:tcBorders>
              <w:top w:val="nil"/>
              <w:left w:val="nil"/>
              <w:bottom w:val="double" w:sz="6" w:space="0" w:color="auto"/>
              <w:right w:val="nil"/>
            </w:tcBorders>
            <w:shd w:val="clear" w:color="auto" w:fill="auto"/>
            <w:vAlign w:val="bottom"/>
            <w:hideMark/>
          </w:tcPr>
          <w:p w:rsidR="00884FEC" w:rsidRPr="00884FEC" w:rsidRDefault="00884FEC" w:rsidP="00B66A9C">
            <w:pPr>
              <w:spacing w:line="360" w:lineRule="auto"/>
              <w:jc w:val="center"/>
              <w:rPr>
                <w:color w:val="000000" w:themeColor="text1"/>
              </w:rPr>
            </w:pPr>
            <w:r w:rsidRPr="00884FEC">
              <w:rPr>
                <w:color w:val="000000" w:themeColor="text1"/>
              </w:rPr>
              <w:t> </w:t>
            </w:r>
          </w:p>
        </w:tc>
        <w:tc>
          <w:tcPr>
            <w:tcW w:w="1800" w:type="dxa"/>
            <w:tcBorders>
              <w:top w:val="nil"/>
              <w:left w:val="nil"/>
              <w:bottom w:val="double" w:sz="6" w:space="0" w:color="auto"/>
              <w:right w:val="nil"/>
            </w:tcBorders>
            <w:shd w:val="clear" w:color="auto" w:fill="auto"/>
            <w:vAlign w:val="bottom"/>
            <w:hideMark/>
          </w:tcPr>
          <w:p w:rsidR="00884FEC" w:rsidRPr="00884FEC" w:rsidRDefault="00884FEC" w:rsidP="00B66A9C">
            <w:pPr>
              <w:spacing w:line="360" w:lineRule="auto"/>
              <w:jc w:val="center"/>
              <w:rPr>
                <w:color w:val="000000" w:themeColor="text1"/>
              </w:rPr>
            </w:pPr>
            <w:r w:rsidRPr="00884FEC">
              <w:rPr>
                <w:color w:val="000000" w:themeColor="text1"/>
              </w:rPr>
              <w:t> </w:t>
            </w:r>
          </w:p>
        </w:tc>
        <w:tc>
          <w:tcPr>
            <w:tcW w:w="1584" w:type="dxa"/>
            <w:tcBorders>
              <w:top w:val="nil"/>
              <w:left w:val="nil"/>
              <w:bottom w:val="double" w:sz="6" w:space="0" w:color="auto"/>
              <w:right w:val="nil"/>
            </w:tcBorders>
            <w:shd w:val="clear" w:color="auto" w:fill="auto"/>
            <w:vAlign w:val="bottom"/>
            <w:hideMark/>
          </w:tcPr>
          <w:p w:rsidR="00884FEC" w:rsidRPr="00884FEC" w:rsidRDefault="00884FEC" w:rsidP="00B66A9C">
            <w:pPr>
              <w:spacing w:line="360" w:lineRule="auto"/>
              <w:jc w:val="center"/>
              <w:rPr>
                <w:color w:val="000000" w:themeColor="text1"/>
              </w:rPr>
            </w:pPr>
            <w:r w:rsidRPr="00884FEC">
              <w:rPr>
                <w:color w:val="000000" w:themeColor="text1"/>
              </w:rPr>
              <w:t> </w:t>
            </w:r>
          </w:p>
        </w:tc>
      </w:tr>
      <w:tr w:rsidR="00884FEC" w:rsidRPr="00884FEC" w:rsidTr="00B66A9C">
        <w:trPr>
          <w:trHeight w:val="405"/>
        </w:trPr>
        <w:tc>
          <w:tcPr>
            <w:tcW w:w="1634"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Variable</w:t>
            </w:r>
          </w:p>
        </w:tc>
        <w:tc>
          <w:tcPr>
            <w:tcW w:w="1530" w:type="dxa"/>
            <w:tcBorders>
              <w:top w:val="nil"/>
              <w:left w:val="nil"/>
              <w:bottom w:val="nil"/>
              <w:right w:val="nil"/>
            </w:tcBorders>
            <w:shd w:val="clear" w:color="auto" w:fill="auto"/>
            <w:vAlign w:val="bottom"/>
            <w:hideMark/>
          </w:tcPr>
          <w:p w:rsidR="00884FEC" w:rsidRPr="00884FEC" w:rsidRDefault="00884FEC" w:rsidP="00B66A9C">
            <w:pPr>
              <w:jc w:val="right"/>
              <w:rPr>
                <w:color w:val="000000" w:themeColor="text1"/>
              </w:rPr>
            </w:pPr>
            <w:r w:rsidRPr="00884FEC">
              <w:rPr>
                <w:color w:val="000000" w:themeColor="text1"/>
              </w:rPr>
              <w:t>Coefficient</w:t>
            </w:r>
          </w:p>
        </w:tc>
        <w:tc>
          <w:tcPr>
            <w:tcW w:w="2340" w:type="dxa"/>
            <w:tcBorders>
              <w:top w:val="nil"/>
              <w:left w:val="nil"/>
              <w:bottom w:val="nil"/>
              <w:right w:val="nil"/>
            </w:tcBorders>
            <w:shd w:val="clear" w:color="auto" w:fill="auto"/>
            <w:vAlign w:val="bottom"/>
            <w:hideMark/>
          </w:tcPr>
          <w:p w:rsidR="00884FEC" w:rsidRPr="00884FEC" w:rsidRDefault="00884FEC" w:rsidP="00B66A9C">
            <w:pPr>
              <w:jc w:val="right"/>
              <w:rPr>
                <w:color w:val="000000" w:themeColor="text1"/>
              </w:rPr>
            </w:pPr>
            <w:r w:rsidRPr="00884FEC">
              <w:rPr>
                <w:color w:val="000000" w:themeColor="text1"/>
              </w:rPr>
              <w:t>Std. Error</w:t>
            </w:r>
          </w:p>
        </w:tc>
        <w:tc>
          <w:tcPr>
            <w:tcW w:w="1800" w:type="dxa"/>
            <w:tcBorders>
              <w:top w:val="nil"/>
              <w:left w:val="nil"/>
              <w:bottom w:val="nil"/>
              <w:right w:val="nil"/>
            </w:tcBorders>
            <w:shd w:val="clear" w:color="auto" w:fill="auto"/>
            <w:vAlign w:val="bottom"/>
            <w:hideMark/>
          </w:tcPr>
          <w:p w:rsidR="00884FEC" w:rsidRPr="00884FEC" w:rsidRDefault="00884FEC" w:rsidP="00B66A9C">
            <w:pPr>
              <w:jc w:val="right"/>
              <w:rPr>
                <w:color w:val="000000" w:themeColor="text1"/>
              </w:rPr>
            </w:pPr>
            <w:r w:rsidRPr="00884FEC">
              <w:rPr>
                <w:color w:val="000000" w:themeColor="text1"/>
              </w:rPr>
              <w:t>t-Statistic</w:t>
            </w:r>
          </w:p>
        </w:tc>
        <w:tc>
          <w:tcPr>
            <w:tcW w:w="1584" w:type="dxa"/>
            <w:tcBorders>
              <w:top w:val="nil"/>
              <w:left w:val="nil"/>
              <w:bottom w:val="nil"/>
              <w:right w:val="nil"/>
            </w:tcBorders>
            <w:shd w:val="clear" w:color="auto" w:fill="auto"/>
            <w:vAlign w:val="bottom"/>
            <w:hideMark/>
          </w:tcPr>
          <w:p w:rsidR="00884FEC" w:rsidRPr="00884FEC" w:rsidRDefault="00884FEC" w:rsidP="00B66A9C">
            <w:pPr>
              <w:jc w:val="right"/>
              <w:rPr>
                <w:color w:val="000000" w:themeColor="text1"/>
              </w:rPr>
            </w:pPr>
            <w:r w:rsidRPr="00884FEC">
              <w:rPr>
                <w:color w:val="000000" w:themeColor="text1"/>
              </w:rPr>
              <w:t>Prob.   </w:t>
            </w:r>
          </w:p>
        </w:tc>
      </w:tr>
      <w:tr w:rsidR="00884FEC" w:rsidRPr="00884FEC" w:rsidTr="00B66A9C">
        <w:trPr>
          <w:trHeight w:hRule="exact" w:val="90"/>
        </w:trPr>
        <w:tc>
          <w:tcPr>
            <w:tcW w:w="163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3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234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80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8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r>
      <w:tr w:rsidR="00884FEC" w:rsidRPr="00884FEC" w:rsidTr="00B66A9C">
        <w:trPr>
          <w:trHeight w:val="315"/>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D(RGDP(-1))</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center"/>
              <w:rPr>
                <w:color w:val="000000" w:themeColor="text1"/>
              </w:rPr>
            </w:pPr>
            <w:r w:rsidRPr="00884FEC">
              <w:rPr>
                <w:color w:val="000000" w:themeColor="text1"/>
              </w:rPr>
              <w:t>-0.3015460</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0.102427</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2.944020</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0.0075*</w:t>
            </w:r>
          </w:p>
        </w:tc>
      </w:tr>
      <w:tr w:rsidR="00884FEC" w:rsidRPr="00884FEC" w:rsidTr="00B66A9C">
        <w:trPr>
          <w:trHeight w:val="300"/>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D(ELC)</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center"/>
              <w:rPr>
                <w:color w:val="000000" w:themeColor="text1"/>
              </w:rPr>
            </w:pPr>
            <w:r w:rsidRPr="00884FEC">
              <w:rPr>
                <w:color w:val="000000" w:themeColor="text1"/>
              </w:rPr>
              <w:t xml:space="preserve">  27.990525</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7.219131</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4.650730</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0.0000*</w:t>
            </w:r>
          </w:p>
        </w:tc>
      </w:tr>
      <w:tr w:rsidR="00884FEC" w:rsidRPr="00884FEC" w:rsidTr="00B66A9C">
        <w:trPr>
          <w:trHeight w:val="300"/>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D(INF)</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center"/>
              <w:rPr>
                <w:color w:val="000000" w:themeColor="text1"/>
              </w:rPr>
            </w:pPr>
            <w:r w:rsidRPr="00884FEC">
              <w:rPr>
                <w:color w:val="000000" w:themeColor="text1"/>
              </w:rPr>
              <w:t xml:space="preserve">  28.751821</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8.675961</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4.875302</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0.0000*</w:t>
            </w:r>
          </w:p>
        </w:tc>
      </w:tr>
      <w:tr w:rsidR="00884FEC" w:rsidRPr="00884FEC" w:rsidTr="00B66A9C">
        <w:trPr>
          <w:trHeight w:val="360"/>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D(UNPL)</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center"/>
              <w:rPr>
                <w:color w:val="000000" w:themeColor="text1"/>
              </w:rPr>
            </w:pPr>
            <w:r w:rsidRPr="00884FEC">
              <w:rPr>
                <w:color w:val="000000" w:themeColor="text1"/>
              </w:rPr>
              <w:t>-28.639401</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8.394091</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-5.365091</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0.0000*</w:t>
            </w:r>
          </w:p>
        </w:tc>
      </w:tr>
      <w:tr w:rsidR="00884FEC" w:rsidRPr="00884FEC" w:rsidTr="00B66A9C">
        <w:trPr>
          <w:trHeight w:val="375"/>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D(INP)</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center"/>
              <w:rPr>
                <w:color w:val="000000" w:themeColor="text1"/>
              </w:rPr>
            </w:pPr>
            <w:r w:rsidRPr="00884FEC">
              <w:rPr>
                <w:color w:val="000000" w:themeColor="text1"/>
              </w:rPr>
              <w:t>1.494065</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0.232059</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6.438286</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0.0000*</w:t>
            </w:r>
          </w:p>
        </w:tc>
      </w:tr>
      <w:tr w:rsidR="00884FEC" w:rsidRPr="00884FEC" w:rsidTr="00B66A9C">
        <w:trPr>
          <w:trHeight w:val="375"/>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szCs w:val="18"/>
              </w:rPr>
            </w:pPr>
            <w:proofErr w:type="spellStart"/>
            <w:r w:rsidRPr="00884FEC">
              <w:rPr>
                <w:color w:val="000000" w:themeColor="text1"/>
                <w:szCs w:val="18"/>
              </w:rPr>
              <w:t>CointEq</w:t>
            </w:r>
            <w:proofErr w:type="spellEnd"/>
            <w:r w:rsidRPr="00884FEC">
              <w:rPr>
                <w:color w:val="000000" w:themeColor="text1"/>
                <w:szCs w:val="18"/>
              </w:rPr>
              <w:t>(-1)</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center"/>
              <w:rPr>
                <w:color w:val="000000" w:themeColor="text1"/>
                <w:szCs w:val="18"/>
              </w:rPr>
            </w:pPr>
            <w:r w:rsidRPr="00884FEC">
              <w:rPr>
                <w:color w:val="000000" w:themeColor="text1"/>
                <w:szCs w:val="18"/>
              </w:rPr>
              <w:t>-0.010698</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szCs w:val="18"/>
              </w:rPr>
            </w:pPr>
            <w:r w:rsidRPr="00884FEC">
              <w:rPr>
                <w:color w:val="000000" w:themeColor="text1"/>
                <w:szCs w:val="18"/>
              </w:rPr>
              <w:t>0.001171</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szCs w:val="18"/>
              </w:rPr>
            </w:pPr>
            <w:r w:rsidRPr="00884FEC">
              <w:rPr>
                <w:color w:val="000000" w:themeColor="text1"/>
                <w:szCs w:val="18"/>
              </w:rPr>
              <w:t>-9.133698</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szCs w:val="18"/>
              </w:rPr>
            </w:pPr>
            <w:r w:rsidRPr="00884FEC">
              <w:rPr>
                <w:color w:val="000000" w:themeColor="text1"/>
                <w:szCs w:val="18"/>
              </w:rPr>
              <w:t>0.0000*</w:t>
            </w:r>
          </w:p>
        </w:tc>
      </w:tr>
      <w:tr w:rsidR="00884FEC" w:rsidRPr="00884FEC" w:rsidTr="00B66A9C">
        <w:trPr>
          <w:trHeight w:hRule="exact" w:val="30"/>
        </w:trPr>
        <w:tc>
          <w:tcPr>
            <w:tcW w:w="163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3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234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80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8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r>
      <w:tr w:rsidR="00884FEC" w:rsidRPr="00884FEC" w:rsidTr="00B66A9C">
        <w:trPr>
          <w:trHeight w:val="135"/>
        </w:trPr>
        <w:tc>
          <w:tcPr>
            <w:tcW w:w="1634"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53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234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80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584"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r>
      <w:tr w:rsidR="00884FEC" w:rsidRPr="00884FEC" w:rsidTr="00B66A9C">
        <w:trPr>
          <w:trHeight w:val="300"/>
        </w:trPr>
        <w:tc>
          <w:tcPr>
            <w:tcW w:w="8888" w:type="dxa"/>
            <w:gridSpan w:val="5"/>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Long Run Coefficients</w:t>
            </w:r>
          </w:p>
        </w:tc>
      </w:tr>
      <w:tr w:rsidR="00884FEC" w:rsidRPr="00884FEC" w:rsidTr="00B66A9C">
        <w:trPr>
          <w:trHeight w:hRule="exact" w:val="74"/>
        </w:trPr>
        <w:tc>
          <w:tcPr>
            <w:tcW w:w="163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3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234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80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8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r>
      <w:tr w:rsidR="00884FEC" w:rsidRPr="00884FEC" w:rsidTr="00B66A9C">
        <w:trPr>
          <w:trHeight w:val="45"/>
        </w:trPr>
        <w:tc>
          <w:tcPr>
            <w:tcW w:w="1634"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53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234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80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584"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r>
      <w:tr w:rsidR="00884FEC" w:rsidRPr="00884FEC" w:rsidTr="00B66A9C">
        <w:trPr>
          <w:trHeight w:val="420"/>
        </w:trPr>
        <w:tc>
          <w:tcPr>
            <w:tcW w:w="1634"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Variable</w:t>
            </w:r>
          </w:p>
        </w:tc>
        <w:tc>
          <w:tcPr>
            <w:tcW w:w="1530" w:type="dxa"/>
            <w:tcBorders>
              <w:top w:val="nil"/>
              <w:left w:val="nil"/>
              <w:bottom w:val="nil"/>
              <w:right w:val="nil"/>
            </w:tcBorders>
            <w:shd w:val="clear" w:color="auto" w:fill="auto"/>
            <w:vAlign w:val="bottom"/>
            <w:hideMark/>
          </w:tcPr>
          <w:p w:rsidR="00884FEC" w:rsidRPr="00884FEC" w:rsidRDefault="00884FEC" w:rsidP="00B66A9C">
            <w:pPr>
              <w:jc w:val="right"/>
              <w:rPr>
                <w:color w:val="000000" w:themeColor="text1"/>
              </w:rPr>
            </w:pPr>
            <w:r w:rsidRPr="00884FEC">
              <w:rPr>
                <w:color w:val="000000" w:themeColor="text1"/>
              </w:rPr>
              <w:t>Coefficient</w:t>
            </w:r>
          </w:p>
        </w:tc>
        <w:tc>
          <w:tcPr>
            <w:tcW w:w="2340" w:type="dxa"/>
            <w:tcBorders>
              <w:top w:val="nil"/>
              <w:left w:val="nil"/>
              <w:bottom w:val="nil"/>
              <w:right w:val="nil"/>
            </w:tcBorders>
            <w:shd w:val="clear" w:color="auto" w:fill="auto"/>
            <w:vAlign w:val="bottom"/>
            <w:hideMark/>
          </w:tcPr>
          <w:p w:rsidR="00884FEC" w:rsidRPr="00884FEC" w:rsidRDefault="00884FEC" w:rsidP="00B66A9C">
            <w:pPr>
              <w:jc w:val="right"/>
              <w:rPr>
                <w:color w:val="000000" w:themeColor="text1"/>
              </w:rPr>
            </w:pPr>
            <w:r w:rsidRPr="00884FEC">
              <w:rPr>
                <w:color w:val="000000" w:themeColor="text1"/>
              </w:rPr>
              <w:t>Std. Error</w:t>
            </w:r>
          </w:p>
        </w:tc>
        <w:tc>
          <w:tcPr>
            <w:tcW w:w="1800" w:type="dxa"/>
            <w:tcBorders>
              <w:top w:val="nil"/>
              <w:left w:val="nil"/>
              <w:bottom w:val="nil"/>
              <w:right w:val="nil"/>
            </w:tcBorders>
            <w:shd w:val="clear" w:color="auto" w:fill="auto"/>
            <w:vAlign w:val="bottom"/>
            <w:hideMark/>
          </w:tcPr>
          <w:p w:rsidR="00884FEC" w:rsidRPr="00884FEC" w:rsidRDefault="00884FEC" w:rsidP="00B66A9C">
            <w:pPr>
              <w:jc w:val="right"/>
              <w:rPr>
                <w:color w:val="000000" w:themeColor="text1"/>
              </w:rPr>
            </w:pPr>
            <w:r w:rsidRPr="00884FEC">
              <w:rPr>
                <w:color w:val="000000" w:themeColor="text1"/>
              </w:rPr>
              <w:t>t-Statistic</w:t>
            </w:r>
          </w:p>
        </w:tc>
        <w:tc>
          <w:tcPr>
            <w:tcW w:w="1584" w:type="dxa"/>
            <w:tcBorders>
              <w:top w:val="nil"/>
              <w:left w:val="nil"/>
              <w:bottom w:val="nil"/>
              <w:right w:val="nil"/>
            </w:tcBorders>
            <w:shd w:val="clear" w:color="auto" w:fill="auto"/>
            <w:vAlign w:val="bottom"/>
            <w:hideMark/>
          </w:tcPr>
          <w:p w:rsidR="00884FEC" w:rsidRPr="00884FEC" w:rsidRDefault="00884FEC" w:rsidP="00B66A9C">
            <w:pPr>
              <w:jc w:val="right"/>
              <w:rPr>
                <w:color w:val="000000" w:themeColor="text1"/>
              </w:rPr>
            </w:pPr>
            <w:r w:rsidRPr="00884FEC">
              <w:rPr>
                <w:color w:val="000000" w:themeColor="text1"/>
              </w:rPr>
              <w:t>Prob.   </w:t>
            </w:r>
          </w:p>
        </w:tc>
      </w:tr>
      <w:tr w:rsidR="00884FEC" w:rsidRPr="00884FEC" w:rsidTr="00B66A9C">
        <w:trPr>
          <w:trHeight w:hRule="exact" w:val="74"/>
        </w:trPr>
        <w:tc>
          <w:tcPr>
            <w:tcW w:w="163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3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234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80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8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r>
      <w:tr w:rsidR="00884FEC" w:rsidRPr="00884FEC" w:rsidTr="00B66A9C">
        <w:trPr>
          <w:trHeight w:val="60"/>
        </w:trPr>
        <w:tc>
          <w:tcPr>
            <w:tcW w:w="1634"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53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234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800"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c>
          <w:tcPr>
            <w:tcW w:w="1584" w:type="dxa"/>
            <w:tcBorders>
              <w:top w:val="nil"/>
              <w:left w:val="nil"/>
              <w:bottom w:val="nil"/>
              <w:right w:val="nil"/>
            </w:tcBorders>
            <w:shd w:val="clear" w:color="auto" w:fill="auto"/>
            <w:vAlign w:val="bottom"/>
            <w:hideMark/>
          </w:tcPr>
          <w:p w:rsidR="00884FEC" w:rsidRPr="00884FEC" w:rsidRDefault="00884FEC" w:rsidP="00B66A9C">
            <w:pPr>
              <w:jc w:val="center"/>
              <w:rPr>
                <w:color w:val="000000" w:themeColor="text1"/>
              </w:rPr>
            </w:pPr>
          </w:p>
        </w:tc>
      </w:tr>
      <w:tr w:rsidR="00884FEC" w:rsidRPr="00884FEC" w:rsidTr="00B66A9C">
        <w:trPr>
          <w:trHeight w:val="300"/>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ELC</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2.890612</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0.257562</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3.522640</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0.0004*</w:t>
            </w:r>
          </w:p>
        </w:tc>
      </w:tr>
      <w:tr w:rsidR="00884FEC" w:rsidRPr="00884FEC" w:rsidTr="00B66A9C">
        <w:trPr>
          <w:trHeight w:val="252"/>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INF</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2.926642</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center"/>
              <w:rPr>
                <w:color w:val="000000" w:themeColor="text1"/>
              </w:rPr>
            </w:pPr>
          </w:p>
          <w:p w:rsidR="00884FEC" w:rsidRPr="00884FEC" w:rsidRDefault="00884FEC" w:rsidP="00B66A9C">
            <w:pPr>
              <w:autoSpaceDE w:val="0"/>
              <w:autoSpaceDN w:val="0"/>
              <w:adjustRightInd w:val="0"/>
              <w:ind w:right="10"/>
              <w:jc w:val="center"/>
              <w:rPr>
                <w:color w:val="000000" w:themeColor="text1"/>
              </w:rPr>
            </w:pPr>
            <w:r w:rsidRPr="00884FEC">
              <w:rPr>
                <w:color w:val="000000" w:themeColor="text1"/>
              </w:rPr>
              <w:t xml:space="preserve">                    0.676351</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4.246022</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0.0000*</w:t>
            </w:r>
          </w:p>
        </w:tc>
      </w:tr>
      <w:tr w:rsidR="00884FEC" w:rsidRPr="00884FEC" w:rsidTr="00B66A9C">
        <w:trPr>
          <w:trHeight w:val="300"/>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UNPL</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-4.275013</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2.064876</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-2.151662</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0.0159**</w:t>
            </w:r>
          </w:p>
        </w:tc>
      </w:tr>
      <w:tr w:rsidR="00884FEC" w:rsidRPr="00884FEC" w:rsidTr="00B66A9C">
        <w:trPr>
          <w:trHeight w:val="300"/>
        </w:trPr>
        <w:tc>
          <w:tcPr>
            <w:tcW w:w="163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jc w:val="center"/>
              <w:rPr>
                <w:color w:val="000000" w:themeColor="text1"/>
              </w:rPr>
            </w:pPr>
            <w:r w:rsidRPr="00884FEC">
              <w:rPr>
                <w:color w:val="000000" w:themeColor="text1"/>
              </w:rPr>
              <w:t>INP</w:t>
            </w:r>
          </w:p>
        </w:tc>
        <w:tc>
          <w:tcPr>
            <w:tcW w:w="153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7.717521</w:t>
            </w:r>
          </w:p>
        </w:tc>
        <w:tc>
          <w:tcPr>
            <w:tcW w:w="234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3.342125</w:t>
            </w:r>
          </w:p>
        </w:tc>
        <w:tc>
          <w:tcPr>
            <w:tcW w:w="1800"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3.335850</w:t>
            </w:r>
          </w:p>
        </w:tc>
        <w:tc>
          <w:tcPr>
            <w:tcW w:w="1584" w:type="dxa"/>
            <w:tcBorders>
              <w:top w:val="nil"/>
              <w:left w:val="nil"/>
              <w:bottom w:val="nil"/>
              <w:right w:val="nil"/>
            </w:tcBorders>
            <w:shd w:val="clear" w:color="auto" w:fill="auto"/>
            <w:vAlign w:val="bottom"/>
            <w:hideMark/>
          </w:tcPr>
          <w:p w:rsidR="00884FEC" w:rsidRPr="00884FEC" w:rsidRDefault="00884FEC" w:rsidP="00B66A9C">
            <w:pPr>
              <w:autoSpaceDE w:val="0"/>
              <w:autoSpaceDN w:val="0"/>
              <w:adjustRightInd w:val="0"/>
              <w:ind w:right="10"/>
              <w:jc w:val="right"/>
              <w:rPr>
                <w:color w:val="000000" w:themeColor="text1"/>
              </w:rPr>
            </w:pPr>
            <w:r w:rsidRPr="00884FEC">
              <w:rPr>
                <w:color w:val="000000" w:themeColor="text1"/>
              </w:rPr>
              <w:t>0.0202**</w:t>
            </w:r>
          </w:p>
        </w:tc>
      </w:tr>
      <w:tr w:rsidR="00884FEC" w:rsidRPr="00884FEC" w:rsidTr="00B66A9C">
        <w:trPr>
          <w:trHeight w:hRule="exact" w:val="45"/>
        </w:trPr>
        <w:tc>
          <w:tcPr>
            <w:tcW w:w="163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3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234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800"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c>
          <w:tcPr>
            <w:tcW w:w="1584" w:type="dxa"/>
            <w:tcBorders>
              <w:top w:val="nil"/>
              <w:left w:val="nil"/>
              <w:bottom w:val="double" w:sz="6" w:space="0" w:color="auto"/>
              <w:right w:val="nil"/>
            </w:tcBorders>
            <w:shd w:val="clear" w:color="auto" w:fill="auto"/>
            <w:vAlign w:val="bottom"/>
            <w:hideMark/>
          </w:tcPr>
          <w:p w:rsidR="00884FEC" w:rsidRPr="00884FEC" w:rsidRDefault="00884FEC" w:rsidP="00B66A9C">
            <w:pPr>
              <w:jc w:val="center"/>
              <w:rPr>
                <w:color w:val="000000" w:themeColor="text1"/>
              </w:rPr>
            </w:pPr>
            <w:r w:rsidRPr="00884FEC">
              <w:rPr>
                <w:color w:val="000000" w:themeColor="text1"/>
              </w:rPr>
              <w:t> </w:t>
            </w:r>
          </w:p>
        </w:tc>
      </w:tr>
    </w:tbl>
    <w:p w:rsidR="00884FEC" w:rsidRPr="00884FEC" w:rsidRDefault="00884FEC" w:rsidP="00884FEC">
      <w:pPr>
        <w:jc w:val="both"/>
        <w:rPr>
          <w:i/>
          <w:color w:val="000000" w:themeColor="text1"/>
        </w:rPr>
      </w:pPr>
      <w:r w:rsidRPr="00884FEC">
        <w:rPr>
          <w:color w:val="000000" w:themeColor="text1"/>
        </w:rPr>
        <w:t>*&amp;** indicate</w:t>
      </w:r>
      <w:r w:rsidRPr="00884FEC">
        <w:rPr>
          <w:i/>
          <w:color w:val="000000" w:themeColor="text1"/>
        </w:rPr>
        <w:t xml:space="preserve"> statistically significance at 1% and 5% level</w:t>
      </w:r>
    </w:p>
    <w:p w:rsidR="00265024" w:rsidRDefault="00884FEC" w:rsidP="00265024">
      <w:pPr>
        <w:spacing w:line="360" w:lineRule="auto"/>
        <w:jc w:val="both"/>
        <w:rPr>
          <w:color w:val="000000" w:themeColor="text1"/>
        </w:rPr>
      </w:pPr>
      <w:r w:rsidRPr="00884FEC">
        <w:rPr>
          <w:b/>
          <w:bCs/>
          <w:color w:val="000000" w:themeColor="text1"/>
        </w:rPr>
        <w:t xml:space="preserve">Source: </w:t>
      </w:r>
      <w:r w:rsidRPr="00884FEC">
        <w:rPr>
          <w:color w:val="000000" w:themeColor="text1"/>
        </w:rPr>
        <w:t>Author’s Computation, 2023.</w:t>
      </w:r>
    </w:p>
    <w:p w:rsidR="00884FEC" w:rsidRPr="00265024" w:rsidRDefault="00884FEC" w:rsidP="00265024">
      <w:pPr>
        <w:spacing w:line="360" w:lineRule="auto"/>
        <w:jc w:val="both"/>
        <w:rPr>
          <w:color w:val="000000" w:themeColor="text1"/>
        </w:rPr>
      </w:pPr>
      <w:r w:rsidRPr="00884FEC">
        <w:rPr>
          <w:b/>
          <w:color w:val="000000" w:themeColor="text1"/>
        </w:rPr>
        <w:t>4.3. Diagnostic Checks</w:t>
      </w:r>
    </w:p>
    <w:p w:rsidR="002C756D" w:rsidRPr="00265024" w:rsidRDefault="00884FEC" w:rsidP="00265024">
      <w:pPr>
        <w:pStyle w:val="Default"/>
        <w:spacing w:line="360" w:lineRule="auto"/>
        <w:jc w:val="both"/>
        <w:rPr>
          <w:color w:val="000000" w:themeColor="text1"/>
        </w:rPr>
      </w:pPr>
      <w:r w:rsidRPr="00884FEC">
        <w:rPr>
          <w:color w:val="000000" w:themeColor="text1"/>
        </w:rPr>
        <w:t xml:space="preserve">To determine the appropriateness and adequacy of ARDL model, the study conducts some robust diagnostic tests; this includes serial correlation test, heteroscedasticity test, misspecification of the model test as well as normality tests and parameter stability tests. After estimated the ARDL regression, the next step is to determine the appropriateness of ARDL model, the study conducts </w:t>
      </w:r>
      <w:r w:rsidRPr="00884FEC">
        <w:rPr>
          <w:color w:val="000000" w:themeColor="text1"/>
        </w:rPr>
        <w:lastRenderedPageBreak/>
        <w:t>some diagnostic tests (e.g., serial correlation, heteroscedasticity and normality tests) and parameter stability test in order  to examines the “independence” of the residuals in the ARDL model by employing the “Harvey Heteroskedasticity Test” to test for Heteroskedasticity problems, the “Breusch–Godfrey Serial Correlation  LM Test” to test for serial correlation, the “Ramsey Test” to test for equation misspecification and the “</w:t>
      </w:r>
      <w:proofErr w:type="spellStart"/>
      <w:r w:rsidRPr="00884FEC">
        <w:rPr>
          <w:color w:val="000000" w:themeColor="text1"/>
        </w:rPr>
        <w:t>Jarque</w:t>
      </w:r>
      <w:proofErr w:type="spellEnd"/>
      <w:r w:rsidRPr="00884FEC">
        <w:rPr>
          <w:color w:val="000000" w:themeColor="text1"/>
        </w:rPr>
        <w:t>–</w:t>
      </w:r>
      <w:proofErr w:type="spellStart"/>
      <w:r w:rsidRPr="00884FEC">
        <w:rPr>
          <w:color w:val="000000" w:themeColor="text1"/>
        </w:rPr>
        <w:t>Bera</w:t>
      </w:r>
      <w:proofErr w:type="spellEnd"/>
      <w:r w:rsidRPr="00884FEC">
        <w:rPr>
          <w:color w:val="000000" w:themeColor="text1"/>
        </w:rPr>
        <w:t xml:space="preserve"> Test” to test for normality of the variables. Evidence from Table 4 reveals that the residuals in ARDL model have no Heteroskedasticity problems, exhibits no serial correlation, no misspecification (i.e. in its functional form), and are normally distributed. These tests show in table 4 and figure 2 below.</w:t>
      </w:r>
    </w:p>
    <w:p w:rsidR="00884FEC" w:rsidRPr="00884FEC" w:rsidRDefault="00884FEC" w:rsidP="00884FEC">
      <w:pPr>
        <w:spacing w:line="360" w:lineRule="auto"/>
        <w:jc w:val="both"/>
        <w:rPr>
          <w:b/>
          <w:color w:val="000000" w:themeColor="text1"/>
        </w:rPr>
      </w:pPr>
      <w:r w:rsidRPr="00884FEC">
        <w:rPr>
          <w:b/>
          <w:color w:val="000000" w:themeColor="text1"/>
        </w:rPr>
        <w:t>Table 4 Post Estimation Test</w:t>
      </w:r>
    </w:p>
    <w:tbl>
      <w:tblPr>
        <w:tblW w:w="10185" w:type="dxa"/>
        <w:tblInd w:w="93" w:type="dxa"/>
        <w:tblLook w:val="04A0" w:firstRow="1" w:lastRow="0" w:firstColumn="1" w:lastColumn="0" w:noHBand="0" w:noVBand="1"/>
      </w:tblPr>
      <w:tblGrid>
        <w:gridCol w:w="4785"/>
        <w:gridCol w:w="1800"/>
        <w:gridCol w:w="1203"/>
        <w:gridCol w:w="2397"/>
      </w:tblGrid>
      <w:tr w:rsidR="00884FEC" w:rsidRPr="00884FEC" w:rsidTr="00B66A9C">
        <w:trPr>
          <w:trHeight w:val="360"/>
        </w:trPr>
        <w:tc>
          <w:tcPr>
            <w:tcW w:w="4785" w:type="dxa"/>
            <w:tcBorders>
              <w:top w:val="single" w:sz="4" w:space="0" w:color="auto"/>
              <w:left w:val="nil"/>
              <w:bottom w:val="single" w:sz="4" w:space="0" w:color="auto"/>
              <w:right w:val="nil"/>
            </w:tcBorders>
            <w:shd w:val="clear" w:color="auto" w:fill="auto"/>
            <w:noWrap/>
            <w:hideMark/>
          </w:tcPr>
          <w:p w:rsidR="00884FEC" w:rsidRPr="00884FEC" w:rsidRDefault="00884FEC" w:rsidP="00B66A9C">
            <w:pPr>
              <w:jc w:val="center"/>
              <w:rPr>
                <w:b/>
                <w:bCs/>
                <w:color w:val="000000" w:themeColor="text1"/>
              </w:rPr>
            </w:pPr>
            <w:r w:rsidRPr="00884FEC">
              <w:rPr>
                <w:b/>
                <w:bCs/>
                <w:color w:val="000000" w:themeColor="text1"/>
              </w:rPr>
              <w:t>Diagnostics Check</w:t>
            </w:r>
          </w:p>
        </w:tc>
        <w:tc>
          <w:tcPr>
            <w:tcW w:w="1800" w:type="dxa"/>
            <w:tcBorders>
              <w:top w:val="single" w:sz="4" w:space="0" w:color="auto"/>
              <w:left w:val="nil"/>
              <w:bottom w:val="single" w:sz="4" w:space="0" w:color="auto"/>
              <w:right w:val="nil"/>
            </w:tcBorders>
            <w:shd w:val="clear" w:color="auto" w:fill="auto"/>
            <w:noWrap/>
            <w:hideMark/>
          </w:tcPr>
          <w:p w:rsidR="00884FEC" w:rsidRPr="00884FEC" w:rsidRDefault="00884FEC" w:rsidP="00B66A9C">
            <w:pPr>
              <w:jc w:val="center"/>
              <w:rPr>
                <w:b/>
                <w:bCs/>
                <w:color w:val="000000" w:themeColor="text1"/>
              </w:rPr>
            </w:pPr>
            <w:r w:rsidRPr="00884FEC">
              <w:rPr>
                <w:b/>
                <w:bCs/>
                <w:color w:val="000000" w:themeColor="text1"/>
              </w:rPr>
              <w:t>F- STATISTIC</w:t>
            </w:r>
          </w:p>
        </w:tc>
        <w:tc>
          <w:tcPr>
            <w:tcW w:w="1203" w:type="dxa"/>
            <w:tcBorders>
              <w:top w:val="single" w:sz="4" w:space="0" w:color="auto"/>
              <w:left w:val="nil"/>
              <w:bottom w:val="single" w:sz="4" w:space="0" w:color="auto"/>
              <w:right w:val="nil"/>
            </w:tcBorders>
            <w:shd w:val="clear" w:color="auto" w:fill="auto"/>
            <w:noWrap/>
            <w:hideMark/>
          </w:tcPr>
          <w:p w:rsidR="00884FEC" w:rsidRPr="00884FEC" w:rsidRDefault="00884FEC" w:rsidP="00B66A9C">
            <w:pPr>
              <w:jc w:val="center"/>
              <w:rPr>
                <w:b/>
                <w:bCs/>
                <w:color w:val="000000" w:themeColor="text1"/>
              </w:rPr>
            </w:pPr>
            <w:r w:rsidRPr="00884FEC">
              <w:rPr>
                <w:b/>
                <w:bCs/>
                <w:color w:val="000000" w:themeColor="text1"/>
              </w:rPr>
              <w:t xml:space="preserve">Prob. </w:t>
            </w:r>
          </w:p>
        </w:tc>
        <w:tc>
          <w:tcPr>
            <w:tcW w:w="2397" w:type="dxa"/>
            <w:tcBorders>
              <w:top w:val="single" w:sz="4" w:space="0" w:color="auto"/>
              <w:left w:val="nil"/>
              <w:bottom w:val="single" w:sz="4" w:space="0" w:color="auto"/>
              <w:right w:val="nil"/>
            </w:tcBorders>
            <w:shd w:val="clear" w:color="auto" w:fill="auto"/>
            <w:noWrap/>
            <w:hideMark/>
          </w:tcPr>
          <w:p w:rsidR="00884FEC" w:rsidRPr="00884FEC" w:rsidRDefault="00884FEC" w:rsidP="00B66A9C">
            <w:pPr>
              <w:jc w:val="center"/>
              <w:rPr>
                <w:b/>
                <w:bCs/>
                <w:color w:val="000000" w:themeColor="text1"/>
              </w:rPr>
            </w:pPr>
            <w:r w:rsidRPr="00884FEC">
              <w:rPr>
                <w:b/>
                <w:bCs/>
                <w:color w:val="000000" w:themeColor="text1"/>
              </w:rPr>
              <w:t>Null Hypotheses</w:t>
            </w:r>
          </w:p>
        </w:tc>
      </w:tr>
      <w:tr w:rsidR="00884FEC" w:rsidRPr="00884FEC" w:rsidTr="00B66A9C">
        <w:trPr>
          <w:trHeight w:val="345"/>
        </w:trPr>
        <w:tc>
          <w:tcPr>
            <w:tcW w:w="4785" w:type="dxa"/>
            <w:tcBorders>
              <w:top w:val="nil"/>
              <w:left w:val="nil"/>
              <w:bottom w:val="nil"/>
              <w:right w:val="nil"/>
            </w:tcBorders>
            <w:shd w:val="clear" w:color="auto" w:fill="auto"/>
            <w:noWrap/>
            <w:hideMark/>
          </w:tcPr>
          <w:p w:rsidR="00884FEC" w:rsidRPr="00884FEC" w:rsidRDefault="00884FEC" w:rsidP="00B66A9C">
            <w:pPr>
              <w:rPr>
                <w:color w:val="000000" w:themeColor="text1"/>
              </w:rPr>
            </w:pPr>
            <w:r w:rsidRPr="00884FEC">
              <w:rPr>
                <w:color w:val="000000" w:themeColor="text1"/>
              </w:rPr>
              <w:t>Harvey Heteroskedasticity Test</w:t>
            </w:r>
          </w:p>
        </w:tc>
        <w:tc>
          <w:tcPr>
            <w:tcW w:w="1800" w:type="dxa"/>
            <w:tcBorders>
              <w:top w:val="nil"/>
              <w:left w:val="nil"/>
              <w:bottom w:val="nil"/>
              <w:right w:val="nil"/>
            </w:tcBorders>
            <w:shd w:val="clear" w:color="auto" w:fill="auto"/>
            <w:noWrap/>
            <w:hideMark/>
          </w:tcPr>
          <w:p w:rsidR="00884FEC" w:rsidRPr="00884FEC" w:rsidRDefault="00884FEC" w:rsidP="00B66A9C">
            <w:pPr>
              <w:jc w:val="center"/>
              <w:rPr>
                <w:color w:val="000000" w:themeColor="text1"/>
              </w:rPr>
            </w:pPr>
            <w:r w:rsidRPr="00884FEC">
              <w:rPr>
                <w:color w:val="000000" w:themeColor="text1"/>
              </w:rPr>
              <w:t>1.560597</w:t>
            </w:r>
          </w:p>
        </w:tc>
        <w:tc>
          <w:tcPr>
            <w:tcW w:w="1203" w:type="dxa"/>
            <w:tcBorders>
              <w:top w:val="nil"/>
              <w:left w:val="nil"/>
              <w:bottom w:val="nil"/>
              <w:right w:val="nil"/>
            </w:tcBorders>
            <w:shd w:val="clear" w:color="auto" w:fill="auto"/>
            <w:noWrap/>
            <w:vAlign w:val="bottom"/>
            <w:hideMark/>
          </w:tcPr>
          <w:p w:rsidR="00884FEC" w:rsidRPr="00884FEC" w:rsidRDefault="00884FEC" w:rsidP="00B66A9C">
            <w:pPr>
              <w:autoSpaceDE w:val="0"/>
              <w:autoSpaceDN w:val="0"/>
              <w:adjustRightInd w:val="0"/>
              <w:ind w:right="10"/>
              <w:jc w:val="center"/>
              <w:rPr>
                <w:color w:val="000000" w:themeColor="text1"/>
              </w:rPr>
            </w:pPr>
            <w:r w:rsidRPr="00884FEC">
              <w:rPr>
                <w:color w:val="000000" w:themeColor="text1"/>
              </w:rPr>
              <w:t>0.1862</w:t>
            </w:r>
          </w:p>
        </w:tc>
        <w:tc>
          <w:tcPr>
            <w:tcW w:w="2397" w:type="dxa"/>
            <w:tcBorders>
              <w:top w:val="nil"/>
              <w:left w:val="nil"/>
              <w:bottom w:val="nil"/>
              <w:right w:val="nil"/>
            </w:tcBorders>
            <w:shd w:val="clear" w:color="auto" w:fill="auto"/>
            <w:noWrap/>
            <w:hideMark/>
          </w:tcPr>
          <w:p w:rsidR="00884FEC" w:rsidRPr="00884FEC" w:rsidRDefault="00884FEC" w:rsidP="00B66A9C">
            <w:pPr>
              <w:rPr>
                <w:color w:val="000000" w:themeColor="text1"/>
              </w:rPr>
            </w:pPr>
            <w:r w:rsidRPr="00884FEC">
              <w:rPr>
                <w:color w:val="000000" w:themeColor="text1"/>
              </w:rPr>
              <w:t>No Heteroskedasticity</w:t>
            </w:r>
          </w:p>
        </w:tc>
      </w:tr>
      <w:tr w:rsidR="00884FEC" w:rsidRPr="00884FEC" w:rsidTr="00B66A9C">
        <w:trPr>
          <w:trHeight w:val="360"/>
        </w:trPr>
        <w:tc>
          <w:tcPr>
            <w:tcW w:w="4785" w:type="dxa"/>
            <w:tcBorders>
              <w:top w:val="nil"/>
              <w:left w:val="nil"/>
              <w:bottom w:val="nil"/>
              <w:right w:val="nil"/>
            </w:tcBorders>
            <w:shd w:val="clear" w:color="auto" w:fill="auto"/>
            <w:noWrap/>
            <w:hideMark/>
          </w:tcPr>
          <w:p w:rsidR="00884FEC" w:rsidRPr="00884FEC" w:rsidRDefault="00884FEC" w:rsidP="00B66A9C">
            <w:pPr>
              <w:rPr>
                <w:color w:val="000000" w:themeColor="text1"/>
              </w:rPr>
            </w:pPr>
            <w:r w:rsidRPr="00884FEC">
              <w:rPr>
                <w:color w:val="000000" w:themeColor="text1"/>
              </w:rPr>
              <w:t>Breusch-Godfrey Serial Correlation LM Test</w:t>
            </w:r>
          </w:p>
        </w:tc>
        <w:tc>
          <w:tcPr>
            <w:tcW w:w="1800" w:type="dxa"/>
            <w:tcBorders>
              <w:top w:val="nil"/>
              <w:left w:val="nil"/>
              <w:bottom w:val="nil"/>
              <w:right w:val="nil"/>
            </w:tcBorders>
            <w:shd w:val="clear" w:color="auto" w:fill="auto"/>
            <w:noWrap/>
            <w:hideMark/>
          </w:tcPr>
          <w:p w:rsidR="00884FEC" w:rsidRPr="00884FEC" w:rsidRDefault="00884FEC" w:rsidP="00B66A9C">
            <w:pPr>
              <w:jc w:val="center"/>
              <w:rPr>
                <w:color w:val="000000" w:themeColor="text1"/>
              </w:rPr>
            </w:pPr>
            <w:r w:rsidRPr="00884FEC">
              <w:rPr>
                <w:color w:val="000000" w:themeColor="text1"/>
              </w:rPr>
              <w:t>1.489113</w:t>
            </w:r>
          </w:p>
        </w:tc>
        <w:tc>
          <w:tcPr>
            <w:tcW w:w="1203" w:type="dxa"/>
            <w:tcBorders>
              <w:top w:val="nil"/>
              <w:left w:val="nil"/>
              <w:bottom w:val="nil"/>
              <w:right w:val="nil"/>
            </w:tcBorders>
            <w:shd w:val="clear" w:color="auto" w:fill="auto"/>
            <w:noWrap/>
            <w:vAlign w:val="bottom"/>
            <w:hideMark/>
          </w:tcPr>
          <w:p w:rsidR="00884FEC" w:rsidRPr="00884FEC" w:rsidRDefault="00884FEC" w:rsidP="00B66A9C">
            <w:pPr>
              <w:autoSpaceDE w:val="0"/>
              <w:autoSpaceDN w:val="0"/>
              <w:adjustRightInd w:val="0"/>
              <w:ind w:right="10"/>
              <w:jc w:val="center"/>
              <w:rPr>
                <w:color w:val="000000" w:themeColor="text1"/>
              </w:rPr>
            </w:pPr>
            <w:r w:rsidRPr="00884FEC">
              <w:rPr>
                <w:color w:val="000000" w:themeColor="text1"/>
              </w:rPr>
              <w:t xml:space="preserve"> 0.2450</w:t>
            </w:r>
          </w:p>
        </w:tc>
        <w:tc>
          <w:tcPr>
            <w:tcW w:w="2397" w:type="dxa"/>
            <w:tcBorders>
              <w:top w:val="nil"/>
              <w:left w:val="nil"/>
              <w:bottom w:val="nil"/>
              <w:right w:val="nil"/>
            </w:tcBorders>
            <w:shd w:val="clear" w:color="auto" w:fill="auto"/>
            <w:noWrap/>
            <w:hideMark/>
          </w:tcPr>
          <w:p w:rsidR="00884FEC" w:rsidRPr="00884FEC" w:rsidRDefault="00884FEC" w:rsidP="00B66A9C">
            <w:pPr>
              <w:rPr>
                <w:color w:val="000000" w:themeColor="text1"/>
              </w:rPr>
            </w:pPr>
            <w:r w:rsidRPr="00884FEC">
              <w:rPr>
                <w:color w:val="000000" w:themeColor="text1"/>
              </w:rPr>
              <w:t>No Serial correlation</w:t>
            </w:r>
          </w:p>
        </w:tc>
      </w:tr>
      <w:tr w:rsidR="00884FEC" w:rsidRPr="00884FEC" w:rsidTr="00B66A9C">
        <w:trPr>
          <w:trHeight w:val="420"/>
        </w:trPr>
        <w:tc>
          <w:tcPr>
            <w:tcW w:w="4785" w:type="dxa"/>
            <w:tcBorders>
              <w:top w:val="nil"/>
              <w:left w:val="nil"/>
              <w:bottom w:val="single" w:sz="4" w:space="0" w:color="auto"/>
              <w:right w:val="nil"/>
            </w:tcBorders>
            <w:shd w:val="clear" w:color="auto" w:fill="auto"/>
            <w:noWrap/>
            <w:hideMark/>
          </w:tcPr>
          <w:p w:rsidR="00884FEC" w:rsidRPr="00884FEC" w:rsidRDefault="00884FEC" w:rsidP="00B66A9C">
            <w:pPr>
              <w:rPr>
                <w:color w:val="000000" w:themeColor="text1"/>
              </w:rPr>
            </w:pPr>
            <w:r w:rsidRPr="00884FEC">
              <w:rPr>
                <w:color w:val="000000" w:themeColor="text1"/>
              </w:rPr>
              <w:t>Ramsey RESET Specification Test</w:t>
            </w:r>
          </w:p>
        </w:tc>
        <w:tc>
          <w:tcPr>
            <w:tcW w:w="1800" w:type="dxa"/>
            <w:tcBorders>
              <w:top w:val="nil"/>
              <w:left w:val="nil"/>
              <w:bottom w:val="single" w:sz="4" w:space="0" w:color="auto"/>
              <w:right w:val="nil"/>
            </w:tcBorders>
            <w:shd w:val="clear" w:color="auto" w:fill="auto"/>
            <w:noWrap/>
            <w:hideMark/>
          </w:tcPr>
          <w:p w:rsidR="00884FEC" w:rsidRPr="00884FEC" w:rsidRDefault="00884FEC" w:rsidP="00B66A9C">
            <w:pPr>
              <w:jc w:val="center"/>
              <w:rPr>
                <w:color w:val="000000" w:themeColor="text1"/>
              </w:rPr>
            </w:pPr>
            <w:r w:rsidRPr="00884FEC">
              <w:rPr>
                <w:color w:val="000000" w:themeColor="text1"/>
              </w:rPr>
              <w:t>  1.380772</w:t>
            </w:r>
          </w:p>
        </w:tc>
        <w:tc>
          <w:tcPr>
            <w:tcW w:w="1203" w:type="dxa"/>
            <w:tcBorders>
              <w:top w:val="nil"/>
              <w:left w:val="nil"/>
              <w:bottom w:val="single" w:sz="4" w:space="0" w:color="auto"/>
              <w:right w:val="nil"/>
            </w:tcBorders>
            <w:shd w:val="clear" w:color="auto" w:fill="auto"/>
            <w:noWrap/>
            <w:hideMark/>
          </w:tcPr>
          <w:p w:rsidR="00884FEC" w:rsidRPr="00884FEC" w:rsidRDefault="00884FEC" w:rsidP="00B66A9C">
            <w:pPr>
              <w:jc w:val="center"/>
              <w:rPr>
                <w:color w:val="000000" w:themeColor="text1"/>
              </w:rPr>
            </w:pPr>
            <w:r w:rsidRPr="00884FEC">
              <w:rPr>
                <w:color w:val="000000" w:themeColor="text1"/>
              </w:rPr>
              <w:t> 0.1812</w:t>
            </w:r>
          </w:p>
        </w:tc>
        <w:tc>
          <w:tcPr>
            <w:tcW w:w="2397" w:type="dxa"/>
            <w:tcBorders>
              <w:top w:val="nil"/>
              <w:left w:val="nil"/>
              <w:bottom w:val="single" w:sz="4" w:space="0" w:color="auto"/>
              <w:right w:val="nil"/>
            </w:tcBorders>
            <w:shd w:val="clear" w:color="auto" w:fill="auto"/>
            <w:noWrap/>
            <w:hideMark/>
          </w:tcPr>
          <w:p w:rsidR="00884FEC" w:rsidRPr="00884FEC" w:rsidRDefault="00884FEC" w:rsidP="00B66A9C">
            <w:pPr>
              <w:rPr>
                <w:color w:val="000000" w:themeColor="text1"/>
              </w:rPr>
            </w:pPr>
            <w:r w:rsidRPr="00884FEC">
              <w:rPr>
                <w:color w:val="000000" w:themeColor="text1"/>
              </w:rPr>
              <w:t>No specification error</w:t>
            </w:r>
          </w:p>
        </w:tc>
      </w:tr>
    </w:tbl>
    <w:p w:rsidR="00884FEC" w:rsidRPr="00884FEC" w:rsidRDefault="00884FEC" w:rsidP="00884FEC">
      <w:pPr>
        <w:spacing w:line="360" w:lineRule="auto"/>
        <w:jc w:val="both"/>
        <w:rPr>
          <w:color w:val="000000" w:themeColor="text1"/>
        </w:rPr>
      </w:pPr>
      <w:r w:rsidRPr="00884FEC">
        <w:rPr>
          <w:b/>
          <w:bCs/>
          <w:color w:val="000000" w:themeColor="text1"/>
        </w:rPr>
        <w:t xml:space="preserve">Source: </w:t>
      </w:r>
      <w:r w:rsidRPr="00884FEC">
        <w:rPr>
          <w:color w:val="000000" w:themeColor="text1"/>
        </w:rPr>
        <w:t>Author's Computation, 2023.</w:t>
      </w:r>
    </w:p>
    <w:p w:rsidR="00884FEC" w:rsidRPr="00884FEC" w:rsidRDefault="00884FEC" w:rsidP="00884FEC">
      <w:pPr>
        <w:autoSpaceDE w:val="0"/>
        <w:autoSpaceDN w:val="0"/>
        <w:adjustRightInd w:val="0"/>
        <w:spacing w:line="360" w:lineRule="auto"/>
        <w:jc w:val="both"/>
        <w:rPr>
          <w:b/>
          <w:color w:val="000000" w:themeColor="text1"/>
        </w:rPr>
      </w:pPr>
      <w:r w:rsidRPr="00884FEC">
        <w:rPr>
          <w:b/>
          <w:color w:val="000000" w:themeColor="text1"/>
        </w:rPr>
        <w:t xml:space="preserve">Figure 2 Normality Test </w:t>
      </w:r>
    </w:p>
    <w:p w:rsidR="00884FEC" w:rsidRPr="00884FEC" w:rsidRDefault="00884FEC" w:rsidP="00884FEC">
      <w:pPr>
        <w:autoSpaceDE w:val="0"/>
        <w:autoSpaceDN w:val="0"/>
        <w:adjustRightInd w:val="0"/>
        <w:spacing w:line="360" w:lineRule="auto"/>
        <w:jc w:val="both"/>
        <w:rPr>
          <w:b/>
          <w:color w:val="000000" w:themeColor="text1"/>
        </w:rPr>
      </w:pPr>
      <w:r w:rsidRPr="00884FEC">
        <w:rPr>
          <w:color w:val="000000" w:themeColor="text1"/>
        </w:rPr>
        <w:object w:dxaOrig="9630" w:dyaOrig="4305">
          <v:shape id="_x0000_i1026" type="#_x0000_t75" style="width:467.25pt;height:209.25pt" o:ole="">
            <v:imagedata r:id="rId23" o:title=""/>
          </v:shape>
          <o:OLEObject Type="Embed" ProgID="EViews.Workfile.2" ShapeID="_x0000_i1026" DrawAspect="Content" ObjectID="_1741345881" r:id="rId24"/>
        </w:object>
      </w:r>
    </w:p>
    <w:p w:rsidR="00884FEC" w:rsidRPr="00884FEC" w:rsidRDefault="00884FEC" w:rsidP="00884FEC">
      <w:pPr>
        <w:spacing w:line="360" w:lineRule="auto"/>
        <w:jc w:val="both"/>
        <w:rPr>
          <w:b/>
          <w:color w:val="000000" w:themeColor="text1"/>
        </w:rPr>
      </w:pPr>
      <w:r w:rsidRPr="00884FEC">
        <w:rPr>
          <w:b/>
          <w:bCs/>
          <w:color w:val="000000" w:themeColor="text1"/>
        </w:rPr>
        <w:t xml:space="preserve">Source: </w:t>
      </w:r>
      <w:r w:rsidRPr="00884FEC">
        <w:rPr>
          <w:color w:val="000000" w:themeColor="text1"/>
        </w:rPr>
        <w:t>Author's Computation, 2023</w:t>
      </w:r>
    </w:p>
    <w:p w:rsidR="00884FEC" w:rsidRPr="00884FEC" w:rsidRDefault="00884FEC" w:rsidP="00884FEC">
      <w:pPr>
        <w:spacing w:line="360" w:lineRule="auto"/>
        <w:jc w:val="both"/>
        <w:rPr>
          <w:b/>
          <w:color w:val="000000" w:themeColor="text1"/>
        </w:rPr>
      </w:pPr>
      <w:r w:rsidRPr="00884FEC">
        <w:rPr>
          <w:b/>
          <w:color w:val="000000" w:themeColor="text1"/>
        </w:rPr>
        <w:t>4.4. Stability Checks</w:t>
      </w:r>
    </w:p>
    <w:p w:rsidR="00884FEC" w:rsidRPr="00884FEC" w:rsidRDefault="00884FEC" w:rsidP="00884FEC">
      <w:pPr>
        <w:autoSpaceDE w:val="0"/>
        <w:autoSpaceDN w:val="0"/>
        <w:adjustRightInd w:val="0"/>
        <w:spacing w:line="360" w:lineRule="auto"/>
        <w:jc w:val="both"/>
        <w:rPr>
          <w:color w:val="000000" w:themeColor="text1"/>
        </w:rPr>
      </w:pPr>
      <w:r w:rsidRPr="00884FEC">
        <w:rPr>
          <w:color w:val="000000" w:themeColor="text1"/>
        </w:rPr>
        <w:t xml:space="preserve">In order to check the stability and adequacy of the ARDL approach, the research analyses the reliability of the cointegration by using Cumulative sum of recursive residuals (CUSUM) and cumulative sum of squares of recursive residuals (CUSUMSQ) Tests. As mentioned in the methodology the cumulative sum (CUSUMSQ) test is used to test the randomness of a sequence </w:t>
      </w:r>
      <w:r w:rsidRPr="00884FEC">
        <w:rPr>
          <w:color w:val="000000" w:themeColor="text1"/>
        </w:rPr>
        <w:lastRenderedPageBreak/>
        <w:t xml:space="preserve">of zeros and ones (Data plot to convert a data set with exactly two distinct values to a sequence of zeros and ones). For this test the zeros to negative ones. The test is based on the maximum distance from zero of a </w:t>
      </w:r>
      <w:r w:rsidR="00CA078F" w:rsidRPr="00884FEC">
        <w:rPr>
          <w:color w:val="000000" w:themeColor="text1"/>
        </w:rPr>
        <w:t>random wa</w:t>
      </w:r>
      <w:r w:rsidR="00CA078F">
        <w:rPr>
          <w:color w:val="000000" w:themeColor="text1"/>
        </w:rPr>
        <w:t>l</w:t>
      </w:r>
      <w:r w:rsidR="00CA078F" w:rsidRPr="00884FEC">
        <w:rPr>
          <w:color w:val="000000" w:themeColor="text1"/>
        </w:rPr>
        <w:t>k</w:t>
      </w:r>
      <w:r w:rsidRPr="00884FEC">
        <w:rPr>
          <w:color w:val="000000" w:themeColor="text1"/>
        </w:rPr>
        <w:t xml:space="preserve"> defined by the cumulative sum of the sequence. A large enough distance is indicative of non-randomness while cumulative sum of squares (CUSUMSQ) tests is based on the recursive regression residuals</w:t>
      </w:r>
    </w:p>
    <w:p w:rsidR="002C756D" w:rsidRPr="00265024" w:rsidRDefault="00884FEC" w:rsidP="00265024">
      <w:pPr>
        <w:autoSpaceDE w:val="0"/>
        <w:autoSpaceDN w:val="0"/>
        <w:adjustRightInd w:val="0"/>
        <w:spacing w:line="360" w:lineRule="auto"/>
        <w:jc w:val="both"/>
        <w:rPr>
          <w:color w:val="000000" w:themeColor="text1"/>
        </w:rPr>
      </w:pPr>
      <w:r w:rsidRPr="00884FEC">
        <w:rPr>
          <w:color w:val="000000" w:themeColor="text1"/>
        </w:rPr>
        <w:t>Result from Figure 3 reveals that, both CUSUM and CUSUM of squares are within the 5% significance level; thus, ARDL model is robust and stable and adequate in its form.</w:t>
      </w:r>
    </w:p>
    <w:p w:rsidR="00884FEC" w:rsidRPr="00884FEC" w:rsidRDefault="00884FEC" w:rsidP="00884FEC">
      <w:pPr>
        <w:spacing w:line="360" w:lineRule="auto"/>
        <w:jc w:val="both"/>
        <w:rPr>
          <w:b/>
          <w:color w:val="000000" w:themeColor="text1"/>
        </w:rPr>
      </w:pPr>
      <w:r w:rsidRPr="00884FEC">
        <w:rPr>
          <w:b/>
          <w:color w:val="000000" w:themeColor="text1"/>
        </w:rPr>
        <w:t>Figure 3 Stability Checks</w:t>
      </w:r>
    </w:p>
    <w:p w:rsidR="00884FEC" w:rsidRPr="00884FEC" w:rsidRDefault="00884FEC" w:rsidP="00884FEC">
      <w:pPr>
        <w:spacing w:line="360" w:lineRule="auto"/>
        <w:jc w:val="both"/>
        <w:rPr>
          <w:b/>
          <w:color w:val="000000" w:themeColor="text1"/>
        </w:rPr>
      </w:pPr>
      <w:r w:rsidRPr="00884FEC">
        <w:rPr>
          <w:color w:val="000000" w:themeColor="text1"/>
        </w:rPr>
        <w:object w:dxaOrig="7215" w:dyaOrig="5056">
          <v:shape id="_x0000_i1027" type="#_x0000_t75" style="width:202.5pt;height:124.5pt" o:ole="">
            <v:imagedata r:id="rId25" o:title=""/>
          </v:shape>
          <o:OLEObject Type="Embed" ProgID="EViews.Workfile.2" ShapeID="_x0000_i1027" DrawAspect="Content" ObjectID="_1741345882" r:id="rId26"/>
        </w:object>
      </w:r>
      <w:r w:rsidRPr="00884FEC">
        <w:rPr>
          <w:color w:val="000000" w:themeColor="text1"/>
        </w:rPr>
        <w:object w:dxaOrig="7275" w:dyaOrig="5056">
          <v:shape id="_x0000_i1028" type="#_x0000_t75" style="width:222pt;height:122.25pt" o:ole="">
            <v:imagedata r:id="rId27" o:title=""/>
          </v:shape>
          <o:OLEObject Type="Embed" ProgID="EViews.Workfile.2" ShapeID="_x0000_i1028" DrawAspect="Content" ObjectID="_1741345883" r:id="rId28"/>
        </w:object>
      </w:r>
    </w:p>
    <w:p w:rsidR="00884FEC" w:rsidRPr="00884FEC" w:rsidRDefault="00884FEC" w:rsidP="00884FEC">
      <w:pPr>
        <w:spacing w:line="360" w:lineRule="auto"/>
        <w:jc w:val="both"/>
        <w:rPr>
          <w:color w:val="000000" w:themeColor="text1"/>
        </w:rPr>
      </w:pPr>
      <w:r w:rsidRPr="00884FEC">
        <w:rPr>
          <w:b/>
          <w:bCs/>
          <w:color w:val="000000" w:themeColor="text1"/>
        </w:rPr>
        <w:t xml:space="preserve">Source: </w:t>
      </w:r>
      <w:r w:rsidRPr="00884FEC">
        <w:rPr>
          <w:color w:val="000000" w:themeColor="text1"/>
        </w:rPr>
        <w:t>Author’s Computation, 2023.</w:t>
      </w:r>
    </w:p>
    <w:p w:rsidR="00884FEC" w:rsidRPr="00884FEC" w:rsidRDefault="00884FEC" w:rsidP="00884FEC">
      <w:pPr>
        <w:spacing w:line="360" w:lineRule="auto"/>
        <w:rPr>
          <w:b/>
          <w:color w:val="000000" w:themeColor="text1"/>
        </w:rPr>
      </w:pPr>
      <w:r w:rsidRPr="00884FEC">
        <w:rPr>
          <w:b/>
          <w:color w:val="000000" w:themeColor="text1"/>
        </w:rPr>
        <w:t xml:space="preserve">5. Conclusion and Recommendation </w:t>
      </w:r>
    </w:p>
    <w:p w:rsidR="00B66A9C" w:rsidRDefault="00484E5E" w:rsidP="00884FEC">
      <w:pPr>
        <w:spacing w:line="360" w:lineRule="auto"/>
        <w:jc w:val="both"/>
        <w:rPr>
          <w:color w:val="000000" w:themeColor="text1"/>
        </w:rPr>
      </w:pPr>
      <w:r w:rsidRPr="00884FEC">
        <w:rPr>
          <w:color w:val="000000" w:themeColor="text1"/>
        </w:rPr>
        <w:t xml:space="preserve">This paper investigated the causal relationship between electricity consumption and economic growth in Nigeria by employing the ARDL bounds testing procedure to identify the long run equilibrium relationship. </w:t>
      </w:r>
    </w:p>
    <w:p w:rsidR="00884FEC" w:rsidRPr="00B66A9C" w:rsidRDefault="00484E5E" w:rsidP="00B66A9C">
      <w:pPr>
        <w:pStyle w:val="ListParagraph"/>
        <w:numPr>
          <w:ilvl w:val="0"/>
          <w:numId w:val="4"/>
        </w:numPr>
        <w:spacing w:line="360" w:lineRule="auto"/>
        <w:jc w:val="both"/>
        <w:rPr>
          <w:color w:val="000000" w:themeColor="text1"/>
        </w:rPr>
      </w:pPr>
      <w:r w:rsidRPr="00B66A9C">
        <w:rPr>
          <w:color w:val="000000" w:themeColor="text1"/>
        </w:rPr>
        <w:t>The study appoints electricity consumption, industrial production, inflation rate and employment as intermittent variables to form a multivariate framework covering the period between 1996 and 2021.The results from the ARDL bounds test reveal that there is existence of a long run relationship between economic growth, electricity consumption,</w:t>
      </w:r>
      <w:r w:rsidR="00692AB0" w:rsidRPr="00B66A9C">
        <w:rPr>
          <w:color w:val="000000" w:themeColor="text1"/>
        </w:rPr>
        <w:t xml:space="preserve"> industrial product,</w:t>
      </w:r>
      <w:r w:rsidRPr="00B66A9C">
        <w:rPr>
          <w:color w:val="000000" w:themeColor="text1"/>
        </w:rPr>
        <w:t xml:space="preserve"> inflation rate and </w:t>
      </w:r>
      <w:r w:rsidR="00692AB0" w:rsidRPr="00B66A9C">
        <w:rPr>
          <w:color w:val="000000" w:themeColor="text1"/>
        </w:rPr>
        <w:t>un</w:t>
      </w:r>
      <w:r w:rsidRPr="00B66A9C">
        <w:rPr>
          <w:color w:val="000000" w:themeColor="text1"/>
        </w:rPr>
        <w:t xml:space="preserve">employment. The coefficients on electricity consumption, </w:t>
      </w:r>
      <w:r w:rsidR="00884FEC" w:rsidRPr="00B66A9C">
        <w:rPr>
          <w:color w:val="000000" w:themeColor="text1"/>
        </w:rPr>
        <w:t xml:space="preserve">Industrial Product </w:t>
      </w:r>
      <w:r w:rsidR="00692AB0" w:rsidRPr="00B66A9C">
        <w:rPr>
          <w:color w:val="000000" w:themeColor="text1"/>
        </w:rPr>
        <w:t>and</w:t>
      </w:r>
      <w:r w:rsidR="00884FEC" w:rsidRPr="00B66A9C">
        <w:rPr>
          <w:color w:val="000000" w:themeColor="text1"/>
        </w:rPr>
        <w:t xml:space="preserve"> inflation rate</w:t>
      </w:r>
      <w:r w:rsidRPr="00B66A9C">
        <w:rPr>
          <w:color w:val="000000" w:themeColor="text1"/>
        </w:rPr>
        <w:t xml:space="preserve"> are positive and significant, meaning that an increase in these variables boosts economic growth.  On contrary, the coefficient </w:t>
      </w:r>
      <w:r w:rsidR="00884FEC" w:rsidRPr="00B66A9C">
        <w:rPr>
          <w:color w:val="000000" w:themeColor="text1"/>
        </w:rPr>
        <w:t xml:space="preserve">Unemployment </w:t>
      </w:r>
      <w:r w:rsidRPr="00B66A9C">
        <w:rPr>
          <w:color w:val="000000" w:themeColor="text1"/>
        </w:rPr>
        <w:t>is negative and significant</w:t>
      </w:r>
      <w:r w:rsidR="00884FEC" w:rsidRPr="00B66A9C">
        <w:rPr>
          <w:color w:val="000000" w:themeColor="text1"/>
        </w:rPr>
        <w:t xml:space="preserve"> meaning that unemployment retard economic growth in Nigeria</w:t>
      </w:r>
      <w:r w:rsidRPr="00B66A9C">
        <w:rPr>
          <w:color w:val="000000" w:themeColor="text1"/>
        </w:rPr>
        <w:t xml:space="preserve">. </w:t>
      </w:r>
    </w:p>
    <w:p w:rsidR="00B66A9C" w:rsidRDefault="00884FEC" w:rsidP="00B66A9C">
      <w:pPr>
        <w:pStyle w:val="ListParagraph"/>
        <w:numPr>
          <w:ilvl w:val="0"/>
          <w:numId w:val="4"/>
        </w:numPr>
        <w:spacing w:line="360" w:lineRule="auto"/>
        <w:jc w:val="both"/>
        <w:rPr>
          <w:rFonts w:eastAsia="Swift-Regular"/>
          <w:color w:val="000000" w:themeColor="text1"/>
        </w:rPr>
      </w:pPr>
      <w:r w:rsidRPr="00B66A9C">
        <w:rPr>
          <w:rFonts w:eastAsia="Swift-Regular"/>
          <w:color w:val="000000" w:themeColor="text1"/>
        </w:rPr>
        <w:t>Based on the findings, the paper recommends that, government should undertake serious measures to curtail the shortage of electricity consumption in the country in order to promote economic growth in general.</w:t>
      </w:r>
      <w:r w:rsidR="00B66A9C">
        <w:rPr>
          <w:rFonts w:eastAsia="Swift-Regular"/>
          <w:color w:val="000000" w:themeColor="text1"/>
        </w:rPr>
        <w:t xml:space="preserve"> Order adopting such policy should </w:t>
      </w:r>
      <w:r w:rsidR="00B66A9C">
        <w:rPr>
          <w:rFonts w:eastAsia="Swift-Regular"/>
          <w:color w:val="000000" w:themeColor="text1"/>
        </w:rPr>
        <w:lastRenderedPageBreak/>
        <w:t>introduce other sources of energy in the country where it necessarily need to be address.</w:t>
      </w:r>
    </w:p>
    <w:p w:rsidR="00445348" w:rsidRDefault="00884FEC" w:rsidP="00B66A9C">
      <w:pPr>
        <w:pStyle w:val="ListParagraph"/>
        <w:numPr>
          <w:ilvl w:val="0"/>
          <w:numId w:val="4"/>
        </w:numPr>
        <w:spacing w:line="360" w:lineRule="auto"/>
        <w:jc w:val="both"/>
        <w:rPr>
          <w:rFonts w:eastAsia="Swift-Regular"/>
          <w:color w:val="000000" w:themeColor="text1"/>
        </w:rPr>
      </w:pPr>
      <w:r w:rsidRPr="00B66A9C">
        <w:rPr>
          <w:rFonts w:eastAsia="Swift-Regular"/>
          <w:color w:val="000000" w:themeColor="text1"/>
        </w:rPr>
        <w:t xml:space="preserve"> More so, the government should adopt appropriate policy that will reduce the level of unemployment which has adverse effect on economic growth.</w:t>
      </w:r>
      <w:r w:rsidR="00B66A9C">
        <w:rPr>
          <w:rFonts w:eastAsia="Swift-Regular"/>
          <w:color w:val="000000" w:themeColor="text1"/>
        </w:rPr>
        <w:t xml:space="preserve"> Similarly, the shoul</w:t>
      </w:r>
      <w:r w:rsidR="00504E8D">
        <w:rPr>
          <w:rFonts w:eastAsia="Swift-Regular"/>
          <w:color w:val="000000" w:themeColor="text1"/>
        </w:rPr>
        <w:t>d encourage other means of energy both private and public in the country, so that, the energy problem need to be address fully in the economy .</w:t>
      </w: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Default="00B66A9C" w:rsidP="00B66A9C">
      <w:pPr>
        <w:spacing w:line="360" w:lineRule="auto"/>
        <w:jc w:val="both"/>
        <w:rPr>
          <w:rFonts w:eastAsia="Swift-Regular"/>
          <w:color w:val="000000" w:themeColor="text1"/>
        </w:rPr>
      </w:pPr>
    </w:p>
    <w:p w:rsidR="00B66A9C" w:rsidRPr="00B66A9C" w:rsidRDefault="00B66A9C" w:rsidP="00B66A9C">
      <w:pPr>
        <w:spacing w:line="360" w:lineRule="auto"/>
        <w:jc w:val="both"/>
        <w:rPr>
          <w:rFonts w:eastAsia="Swift-Regular"/>
          <w:color w:val="000000" w:themeColor="text1"/>
        </w:rPr>
      </w:pPr>
    </w:p>
    <w:p w:rsidR="00265024" w:rsidRDefault="00265024" w:rsidP="00884FEC">
      <w:pPr>
        <w:rPr>
          <w:b/>
          <w:color w:val="000000" w:themeColor="text1"/>
        </w:rPr>
      </w:pPr>
    </w:p>
    <w:p w:rsidR="000965B9" w:rsidRPr="005020C9" w:rsidRDefault="00484E5E" w:rsidP="00884FEC">
      <w:pPr>
        <w:rPr>
          <w:b/>
        </w:rPr>
      </w:pPr>
      <w:r w:rsidRPr="005020C9">
        <w:rPr>
          <w:b/>
        </w:rPr>
        <w:t>REFERENCES</w:t>
      </w:r>
    </w:p>
    <w:p w:rsidR="000965B9" w:rsidRPr="001A78FA" w:rsidRDefault="001A78FA" w:rsidP="00884FEC">
      <w:pPr>
        <w:rPr>
          <w:b/>
          <w:color w:val="FF0000"/>
        </w:rPr>
      </w:pPr>
      <w:r w:rsidRPr="001A78FA">
        <w:rPr>
          <w:color w:val="FF0000"/>
        </w:rPr>
        <w:t xml:space="preserve"> </w:t>
      </w:r>
    </w:p>
    <w:p w:rsidR="000965B9" w:rsidRDefault="000965B9" w:rsidP="00884FEC">
      <w:pPr>
        <w:jc w:val="both"/>
        <w:rPr>
          <w:color w:val="FF0000"/>
          <w:shd w:val="clear" w:color="auto" w:fill="FFFFFF"/>
        </w:rPr>
      </w:pPr>
    </w:p>
    <w:p w:rsidR="00D50092" w:rsidRPr="005020C9" w:rsidRDefault="00D50092" w:rsidP="005020C9">
      <w:pPr>
        <w:pStyle w:val="ListParagraph"/>
        <w:numPr>
          <w:ilvl w:val="0"/>
          <w:numId w:val="3"/>
        </w:numPr>
        <w:jc w:val="both"/>
        <w:rPr>
          <w:color w:val="000000" w:themeColor="text1"/>
          <w:shd w:val="clear" w:color="auto" w:fill="FFFFFF"/>
        </w:rPr>
      </w:pPr>
      <w:proofErr w:type="spellStart"/>
      <w:r w:rsidRPr="005020C9">
        <w:rPr>
          <w:color w:val="000000" w:themeColor="text1"/>
          <w:shd w:val="clear" w:color="auto" w:fill="FFFFFF"/>
        </w:rPr>
        <w:t>Agbede</w:t>
      </w:r>
      <w:proofErr w:type="spellEnd"/>
      <w:r w:rsidRPr="005020C9">
        <w:rPr>
          <w:color w:val="000000" w:themeColor="text1"/>
          <w:shd w:val="clear" w:color="auto" w:fill="FFFFFF"/>
        </w:rPr>
        <w:t>, E. A., Bani, Y., Azman-Saini, W. N., &amp; Naseem, N. A. (2021). The impact of energy</w:t>
      </w:r>
    </w:p>
    <w:p w:rsidR="00D50092" w:rsidRDefault="00D50092" w:rsidP="00D50092">
      <w:pPr>
        <w:jc w:val="both"/>
        <w:rPr>
          <w:color w:val="000000" w:themeColor="text1"/>
          <w:shd w:val="clear" w:color="auto" w:fill="FFFFFF"/>
        </w:rPr>
      </w:pPr>
      <w:r w:rsidRPr="00884FEC">
        <w:rPr>
          <w:color w:val="000000" w:themeColor="text1"/>
          <w:shd w:val="clear" w:color="auto" w:fill="FFFFFF"/>
        </w:rPr>
        <w:t xml:space="preserve">        consumption on environmental quality: empirical evidence from the MINT </w:t>
      </w:r>
    </w:p>
    <w:p w:rsidR="00D50092" w:rsidRPr="00884FEC" w:rsidRDefault="00D50092" w:rsidP="00D50092">
      <w:pPr>
        <w:jc w:val="both"/>
        <w:rPr>
          <w:color w:val="000000" w:themeColor="text1"/>
          <w:shd w:val="clear" w:color="auto" w:fill="FFFFFF"/>
        </w:rPr>
      </w:pPr>
      <w:r>
        <w:rPr>
          <w:color w:val="000000" w:themeColor="text1"/>
          <w:shd w:val="clear" w:color="auto" w:fill="FFFFFF"/>
        </w:rPr>
        <w:t xml:space="preserve">        </w:t>
      </w:r>
      <w:r w:rsidRPr="00884FEC">
        <w:rPr>
          <w:color w:val="000000" w:themeColor="text1"/>
          <w:shd w:val="clear" w:color="auto" w:fill="FFFFFF"/>
        </w:rPr>
        <w:t>countries. </w:t>
      </w:r>
      <w:r w:rsidRPr="00884FEC">
        <w:rPr>
          <w:i/>
          <w:iCs/>
          <w:color w:val="000000" w:themeColor="text1"/>
          <w:shd w:val="clear" w:color="auto" w:fill="FFFFFF"/>
        </w:rPr>
        <w:t>Environmental Science and Pollution Research</w:t>
      </w:r>
      <w:r w:rsidRPr="00884FEC">
        <w:rPr>
          <w:color w:val="000000" w:themeColor="text1"/>
          <w:shd w:val="clear" w:color="auto" w:fill="FFFFFF"/>
        </w:rPr>
        <w:t>, </w:t>
      </w:r>
      <w:r w:rsidRPr="00884FEC">
        <w:rPr>
          <w:i/>
          <w:iCs/>
          <w:color w:val="000000" w:themeColor="text1"/>
          <w:shd w:val="clear" w:color="auto" w:fill="FFFFFF"/>
        </w:rPr>
        <w:t>28</w:t>
      </w:r>
      <w:r w:rsidRPr="00884FEC">
        <w:rPr>
          <w:color w:val="000000" w:themeColor="text1"/>
          <w:shd w:val="clear" w:color="auto" w:fill="FFFFFF"/>
        </w:rPr>
        <w:t>(38), 54117-54136.</w:t>
      </w:r>
    </w:p>
    <w:p w:rsidR="00D50092"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proofErr w:type="spellStart"/>
      <w:r w:rsidRPr="005020C9">
        <w:rPr>
          <w:color w:val="000000" w:themeColor="text1"/>
          <w:shd w:val="clear" w:color="auto" w:fill="FFFFFF"/>
        </w:rPr>
        <w:t>Audu</w:t>
      </w:r>
      <w:proofErr w:type="spellEnd"/>
      <w:r w:rsidRPr="005020C9">
        <w:rPr>
          <w:color w:val="000000" w:themeColor="text1"/>
          <w:shd w:val="clear" w:color="auto" w:fill="FFFFFF"/>
        </w:rPr>
        <w:t>, E., Paul, S. O., &amp;</w:t>
      </w:r>
      <w:proofErr w:type="spellStart"/>
      <w:r w:rsidRPr="005020C9">
        <w:rPr>
          <w:color w:val="000000" w:themeColor="text1"/>
          <w:shd w:val="clear" w:color="auto" w:fill="FFFFFF"/>
        </w:rPr>
        <w:t>Ameh</w:t>
      </w:r>
      <w:proofErr w:type="spellEnd"/>
      <w:r w:rsidRPr="005020C9">
        <w:rPr>
          <w:color w:val="000000" w:themeColor="text1"/>
          <w:shd w:val="clear" w:color="auto" w:fill="FFFFFF"/>
        </w:rPr>
        <w:t xml:space="preserve">, A. (2017). Privatization of power sector and poverty of power </w:t>
      </w:r>
    </w:p>
    <w:p w:rsidR="00D50092" w:rsidRPr="00884FEC" w:rsidRDefault="00D50092" w:rsidP="00D50092">
      <w:pPr>
        <w:jc w:val="both"/>
        <w:rPr>
          <w:i/>
          <w:iCs/>
          <w:color w:val="000000" w:themeColor="text1"/>
          <w:shd w:val="clear" w:color="auto" w:fill="FFFFFF"/>
        </w:rPr>
      </w:pPr>
      <w:r w:rsidRPr="00884FEC">
        <w:rPr>
          <w:color w:val="000000" w:themeColor="text1"/>
          <w:shd w:val="clear" w:color="auto" w:fill="FFFFFF"/>
        </w:rPr>
        <w:t xml:space="preserve">        supply in Nigeria: A policy analysis. </w:t>
      </w:r>
      <w:r w:rsidRPr="00884FEC">
        <w:rPr>
          <w:i/>
          <w:iCs/>
          <w:color w:val="000000" w:themeColor="text1"/>
          <w:shd w:val="clear" w:color="auto" w:fill="FFFFFF"/>
        </w:rPr>
        <w:t>International Journal of Development and</w:t>
      </w:r>
    </w:p>
    <w:p w:rsidR="00D50092" w:rsidRPr="00884FEC" w:rsidRDefault="00D50092" w:rsidP="00D50092">
      <w:pPr>
        <w:jc w:val="both"/>
        <w:rPr>
          <w:color w:val="000000" w:themeColor="text1"/>
          <w:shd w:val="clear" w:color="auto" w:fill="FFFFFF"/>
        </w:rPr>
      </w:pPr>
      <w:r w:rsidRPr="00884FEC">
        <w:rPr>
          <w:i/>
          <w:iCs/>
          <w:color w:val="000000" w:themeColor="text1"/>
          <w:shd w:val="clear" w:color="auto" w:fill="FFFFFF"/>
        </w:rPr>
        <w:t xml:space="preserve">        Sustainability</w:t>
      </w:r>
      <w:r w:rsidRPr="00884FEC">
        <w:rPr>
          <w:color w:val="000000" w:themeColor="text1"/>
          <w:shd w:val="clear" w:color="auto" w:fill="FFFFFF"/>
        </w:rPr>
        <w:t>, </w:t>
      </w:r>
      <w:r w:rsidRPr="00884FEC">
        <w:rPr>
          <w:i/>
          <w:iCs/>
          <w:color w:val="000000" w:themeColor="text1"/>
          <w:shd w:val="clear" w:color="auto" w:fill="FFFFFF"/>
        </w:rPr>
        <w:t>6</w:t>
      </w:r>
      <w:r w:rsidRPr="00884FEC">
        <w:rPr>
          <w:color w:val="000000" w:themeColor="text1"/>
          <w:shd w:val="clear" w:color="auto" w:fill="FFFFFF"/>
        </w:rPr>
        <w:t>(10), 1218-1231.</w:t>
      </w:r>
    </w:p>
    <w:p w:rsidR="00D50092"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proofErr w:type="spellStart"/>
      <w:r w:rsidRPr="005020C9">
        <w:rPr>
          <w:color w:val="000000" w:themeColor="text1"/>
          <w:shd w:val="clear" w:color="auto" w:fill="FFFFFF"/>
        </w:rPr>
        <w:t>Emodi</w:t>
      </w:r>
      <w:proofErr w:type="spellEnd"/>
      <w:r w:rsidRPr="005020C9">
        <w:rPr>
          <w:color w:val="000000" w:themeColor="text1"/>
          <w:shd w:val="clear" w:color="auto" w:fill="FFFFFF"/>
        </w:rPr>
        <w:t xml:space="preserve">, N. V., </w:t>
      </w:r>
      <w:proofErr w:type="spellStart"/>
      <w:r w:rsidRPr="005020C9">
        <w:rPr>
          <w:color w:val="000000" w:themeColor="text1"/>
          <w:shd w:val="clear" w:color="auto" w:fill="FFFFFF"/>
        </w:rPr>
        <w:t>Emodi</w:t>
      </w:r>
      <w:proofErr w:type="spellEnd"/>
      <w:r w:rsidRPr="005020C9">
        <w:rPr>
          <w:color w:val="000000" w:themeColor="text1"/>
          <w:shd w:val="clear" w:color="auto" w:fill="FFFFFF"/>
        </w:rPr>
        <w:t>, C. C., Murthy, G. P., &amp;</w:t>
      </w:r>
      <w:proofErr w:type="spellStart"/>
      <w:r w:rsidRPr="005020C9">
        <w:rPr>
          <w:color w:val="000000" w:themeColor="text1"/>
          <w:shd w:val="clear" w:color="auto" w:fill="FFFFFF"/>
        </w:rPr>
        <w:t>Emodi</w:t>
      </w:r>
      <w:proofErr w:type="spellEnd"/>
      <w:r w:rsidRPr="005020C9">
        <w:rPr>
          <w:color w:val="000000" w:themeColor="text1"/>
          <w:shd w:val="clear" w:color="auto" w:fill="FFFFFF"/>
        </w:rPr>
        <w:t>, A. S. A. (2017). Energy policy for low</w:t>
      </w:r>
    </w:p>
    <w:p w:rsidR="00D50092" w:rsidRPr="00884FEC" w:rsidRDefault="00D50092" w:rsidP="00D50092">
      <w:pPr>
        <w:jc w:val="both"/>
        <w:rPr>
          <w:i/>
          <w:iCs/>
          <w:color w:val="000000" w:themeColor="text1"/>
          <w:shd w:val="clear" w:color="auto" w:fill="FFFFFF"/>
        </w:rPr>
      </w:pPr>
      <w:r w:rsidRPr="00884FEC">
        <w:rPr>
          <w:color w:val="000000" w:themeColor="text1"/>
          <w:shd w:val="clear" w:color="auto" w:fill="FFFFFF"/>
        </w:rPr>
        <w:t xml:space="preserve">         carbon development in Nigeria: A LEAP model application. </w:t>
      </w:r>
      <w:r w:rsidRPr="00884FEC">
        <w:rPr>
          <w:i/>
          <w:iCs/>
          <w:color w:val="000000" w:themeColor="text1"/>
          <w:shd w:val="clear" w:color="auto" w:fill="FFFFFF"/>
        </w:rPr>
        <w:t>Renewable and Sustainable</w:t>
      </w:r>
    </w:p>
    <w:p w:rsidR="00D50092" w:rsidRPr="00884FEC" w:rsidRDefault="00D50092" w:rsidP="00D50092">
      <w:pPr>
        <w:jc w:val="both"/>
        <w:rPr>
          <w:color w:val="000000" w:themeColor="text1"/>
          <w:shd w:val="clear" w:color="auto" w:fill="FFFFFF"/>
        </w:rPr>
      </w:pPr>
      <w:r w:rsidRPr="00884FEC">
        <w:rPr>
          <w:i/>
          <w:iCs/>
          <w:color w:val="000000" w:themeColor="text1"/>
          <w:shd w:val="clear" w:color="auto" w:fill="FFFFFF"/>
        </w:rPr>
        <w:t xml:space="preserve">        Energy Reviews</w:t>
      </w:r>
      <w:r w:rsidRPr="00884FEC">
        <w:rPr>
          <w:color w:val="000000" w:themeColor="text1"/>
          <w:shd w:val="clear" w:color="auto" w:fill="FFFFFF"/>
        </w:rPr>
        <w:t>, </w:t>
      </w:r>
      <w:r w:rsidRPr="00884FEC">
        <w:rPr>
          <w:i/>
          <w:iCs/>
          <w:color w:val="000000" w:themeColor="text1"/>
          <w:shd w:val="clear" w:color="auto" w:fill="FFFFFF"/>
        </w:rPr>
        <w:t>68</w:t>
      </w:r>
      <w:r w:rsidRPr="00884FEC">
        <w:rPr>
          <w:color w:val="000000" w:themeColor="text1"/>
          <w:shd w:val="clear" w:color="auto" w:fill="FFFFFF"/>
        </w:rPr>
        <w:t>, 247-261.</w:t>
      </w:r>
    </w:p>
    <w:p w:rsidR="00D50092"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r w:rsidRPr="005020C9">
        <w:rPr>
          <w:color w:val="000000" w:themeColor="text1"/>
          <w:shd w:val="clear" w:color="auto" w:fill="FFFFFF"/>
        </w:rPr>
        <w:t xml:space="preserve">Imam, M. I., </w:t>
      </w:r>
      <w:proofErr w:type="spellStart"/>
      <w:r w:rsidRPr="005020C9">
        <w:rPr>
          <w:color w:val="000000" w:themeColor="text1"/>
          <w:shd w:val="clear" w:color="auto" w:fill="FFFFFF"/>
        </w:rPr>
        <w:t>Jamasb</w:t>
      </w:r>
      <w:proofErr w:type="spellEnd"/>
      <w:r w:rsidRPr="005020C9">
        <w:rPr>
          <w:color w:val="000000" w:themeColor="text1"/>
          <w:shd w:val="clear" w:color="auto" w:fill="FFFFFF"/>
        </w:rPr>
        <w:t>, T., &amp;</w:t>
      </w:r>
      <w:proofErr w:type="spellStart"/>
      <w:r w:rsidRPr="005020C9">
        <w:rPr>
          <w:color w:val="000000" w:themeColor="text1"/>
          <w:shd w:val="clear" w:color="auto" w:fill="FFFFFF"/>
        </w:rPr>
        <w:t>Llorca</w:t>
      </w:r>
      <w:proofErr w:type="spellEnd"/>
      <w:r w:rsidRPr="005020C9">
        <w:rPr>
          <w:color w:val="000000" w:themeColor="text1"/>
          <w:shd w:val="clear" w:color="auto" w:fill="FFFFFF"/>
        </w:rPr>
        <w:t xml:space="preserve">, M. (2019). Sector reforms and institutional corruption: </w:t>
      </w:r>
    </w:p>
    <w:p w:rsidR="00D50092" w:rsidRPr="00884FEC" w:rsidRDefault="00D50092" w:rsidP="00D50092">
      <w:pPr>
        <w:jc w:val="both"/>
        <w:rPr>
          <w:color w:val="000000" w:themeColor="text1"/>
          <w:shd w:val="clear" w:color="auto" w:fill="FFFFFF"/>
        </w:rPr>
      </w:pPr>
      <w:r w:rsidRPr="00884FEC">
        <w:rPr>
          <w:color w:val="000000" w:themeColor="text1"/>
          <w:shd w:val="clear" w:color="auto" w:fill="FFFFFF"/>
        </w:rPr>
        <w:t xml:space="preserve">        Evidence from electricity industry in Sub-Saharan Africa. </w:t>
      </w:r>
      <w:r w:rsidRPr="00884FEC">
        <w:rPr>
          <w:i/>
          <w:iCs/>
          <w:color w:val="000000" w:themeColor="text1"/>
          <w:shd w:val="clear" w:color="auto" w:fill="FFFFFF"/>
        </w:rPr>
        <w:t>Energy Policy</w:t>
      </w:r>
      <w:r w:rsidRPr="00884FEC">
        <w:rPr>
          <w:color w:val="000000" w:themeColor="text1"/>
          <w:shd w:val="clear" w:color="auto" w:fill="FFFFFF"/>
        </w:rPr>
        <w:t>, </w:t>
      </w:r>
      <w:r w:rsidRPr="00884FEC">
        <w:rPr>
          <w:i/>
          <w:iCs/>
          <w:color w:val="000000" w:themeColor="text1"/>
          <w:shd w:val="clear" w:color="auto" w:fill="FFFFFF"/>
        </w:rPr>
        <w:t>129</w:t>
      </w:r>
      <w:r w:rsidRPr="00884FEC">
        <w:rPr>
          <w:color w:val="000000" w:themeColor="text1"/>
          <w:shd w:val="clear" w:color="auto" w:fill="FFFFFF"/>
        </w:rPr>
        <w:t>, 532-545.</w:t>
      </w:r>
    </w:p>
    <w:p w:rsidR="00D50092" w:rsidRDefault="00D50092" w:rsidP="00445348">
      <w:pPr>
        <w:ind w:left="630" w:hanging="630"/>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proofErr w:type="spellStart"/>
      <w:r w:rsidRPr="005020C9">
        <w:rPr>
          <w:color w:val="000000" w:themeColor="text1"/>
          <w:shd w:val="clear" w:color="auto" w:fill="FFFFFF"/>
        </w:rPr>
        <w:t>Iorember</w:t>
      </w:r>
      <w:proofErr w:type="spellEnd"/>
      <w:r w:rsidRPr="005020C9">
        <w:rPr>
          <w:color w:val="000000" w:themeColor="text1"/>
          <w:shd w:val="clear" w:color="auto" w:fill="FFFFFF"/>
        </w:rPr>
        <w:t xml:space="preserve">, P. T., &amp; John, E. (2016). Commercial bank credit and manufacturing sector output in </w:t>
      </w:r>
    </w:p>
    <w:p w:rsidR="00D50092" w:rsidRDefault="00D50092" w:rsidP="00D50092">
      <w:pPr>
        <w:jc w:val="both"/>
        <w:rPr>
          <w:color w:val="000000" w:themeColor="text1"/>
          <w:shd w:val="clear" w:color="auto" w:fill="FFFFFF"/>
        </w:rPr>
      </w:pPr>
      <w:r w:rsidRPr="00884FEC">
        <w:rPr>
          <w:color w:val="000000" w:themeColor="text1"/>
          <w:shd w:val="clear" w:color="auto" w:fill="FFFFFF"/>
        </w:rPr>
        <w:t xml:space="preserve">        Nigeria. </w:t>
      </w:r>
      <w:r w:rsidRPr="00884FEC">
        <w:rPr>
          <w:i/>
          <w:iCs/>
          <w:color w:val="000000" w:themeColor="text1"/>
          <w:shd w:val="clear" w:color="auto" w:fill="FFFFFF"/>
        </w:rPr>
        <w:t>Journal of Economics and Sustainable Development</w:t>
      </w:r>
      <w:r w:rsidRPr="00884FEC">
        <w:rPr>
          <w:color w:val="000000" w:themeColor="text1"/>
          <w:shd w:val="clear" w:color="auto" w:fill="FFFFFF"/>
        </w:rPr>
        <w:t>, </w:t>
      </w:r>
      <w:r w:rsidRPr="00884FEC">
        <w:rPr>
          <w:i/>
          <w:iCs/>
          <w:color w:val="000000" w:themeColor="text1"/>
          <w:shd w:val="clear" w:color="auto" w:fill="FFFFFF"/>
        </w:rPr>
        <w:t>7</w:t>
      </w:r>
      <w:r w:rsidRPr="00884FEC">
        <w:rPr>
          <w:color w:val="000000" w:themeColor="text1"/>
          <w:shd w:val="clear" w:color="auto" w:fill="FFFFFF"/>
        </w:rPr>
        <w:t>(16).</w:t>
      </w:r>
    </w:p>
    <w:p w:rsidR="00D50092" w:rsidRPr="00884FEC"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proofErr w:type="spellStart"/>
      <w:r w:rsidRPr="005020C9">
        <w:rPr>
          <w:color w:val="000000" w:themeColor="text1"/>
          <w:shd w:val="clear" w:color="auto" w:fill="FFFFFF"/>
        </w:rPr>
        <w:t>Khobai</w:t>
      </w:r>
      <w:proofErr w:type="spellEnd"/>
      <w:r w:rsidRPr="005020C9">
        <w:rPr>
          <w:color w:val="000000" w:themeColor="text1"/>
          <w:shd w:val="clear" w:color="auto" w:fill="FFFFFF"/>
        </w:rPr>
        <w:t xml:space="preserve">, H., </w:t>
      </w:r>
      <w:proofErr w:type="spellStart"/>
      <w:r w:rsidRPr="005020C9">
        <w:rPr>
          <w:color w:val="000000" w:themeColor="text1"/>
          <w:shd w:val="clear" w:color="auto" w:fill="FFFFFF"/>
        </w:rPr>
        <w:t>Mugano</w:t>
      </w:r>
      <w:proofErr w:type="spellEnd"/>
      <w:r w:rsidRPr="005020C9">
        <w:rPr>
          <w:color w:val="000000" w:themeColor="text1"/>
          <w:shd w:val="clear" w:color="auto" w:fill="FFFFFF"/>
        </w:rPr>
        <w:t>, G., &amp; Le Roux, P. (2017). The impact of electricity price on economic</w:t>
      </w:r>
    </w:p>
    <w:p w:rsidR="00D50092" w:rsidRPr="00884FEC" w:rsidRDefault="00D50092" w:rsidP="00D50092">
      <w:pPr>
        <w:jc w:val="both"/>
        <w:rPr>
          <w:color w:val="000000" w:themeColor="text1"/>
          <w:shd w:val="clear" w:color="auto" w:fill="FFFFFF"/>
        </w:rPr>
      </w:pPr>
      <w:r w:rsidRPr="00884FEC">
        <w:rPr>
          <w:color w:val="000000" w:themeColor="text1"/>
          <w:shd w:val="clear" w:color="auto" w:fill="FFFFFF"/>
        </w:rPr>
        <w:t xml:space="preserve">         growth in South Africa. </w:t>
      </w:r>
      <w:r w:rsidRPr="00884FEC">
        <w:rPr>
          <w:i/>
          <w:iCs/>
          <w:color w:val="000000" w:themeColor="text1"/>
          <w:shd w:val="clear" w:color="auto" w:fill="FFFFFF"/>
        </w:rPr>
        <w:t>International Journal of Energy Economics and Policy</w:t>
      </w:r>
      <w:r w:rsidRPr="00884FEC">
        <w:rPr>
          <w:color w:val="000000" w:themeColor="text1"/>
          <w:shd w:val="clear" w:color="auto" w:fill="FFFFFF"/>
        </w:rPr>
        <w:t>, </w:t>
      </w:r>
      <w:r w:rsidRPr="00884FEC">
        <w:rPr>
          <w:i/>
          <w:iCs/>
          <w:color w:val="000000" w:themeColor="text1"/>
          <w:shd w:val="clear" w:color="auto" w:fill="FFFFFF"/>
        </w:rPr>
        <w:t>7</w:t>
      </w:r>
      <w:r w:rsidRPr="00884FEC">
        <w:rPr>
          <w:color w:val="000000" w:themeColor="text1"/>
          <w:shd w:val="clear" w:color="auto" w:fill="FFFFFF"/>
        </w:rPr>
        <w:t>(1), 108-</w:t>
      </w:r>
    </w:p>
    <w:p w:rsidR="00D50092" w:rsidRDefault="00D50092" w:rsidP="00D50092">
      <w:pPr>
        <w:jc w:val="both"/>
        <w:rPr>
          <w:color w:val="000000" w:themeColor="text1"/>
          <w:shd w:val="clear" w:color="auto" w:fill="FFFFFF"/>
        </w:rPr>
      </w:pPr>
      <w:r w:rsidRPr="00884FEC">
        <w:rPr>
          <w:color w:val="000000" w:themeColor="text1"/>
          <w:shd w:val="clear" w:color="auto" w:fill="FFFFFF"/>
        </w:rPr>
        <w:t xml:space="preserve">         116.</w:t>
      </w:r>
    </w:p>
    <w:p w:rsidR="00D50092" w:rsidRPr="00884FEC"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r w:rsidRPr="005020C9">
        <w:rPr>
          <w:color w:val="000000" w:themeColor="text1"/>
          <w:shd w:val="clear" w:color="auto" w:fill="FFFFFF"/>
        </w:rPr>
        <w:t>Nathaniel, S. P., &amp;</w:t>
      </w:r>
      <w:proofErr w:type="spellStart"/>
      <w:r w:rsidRPr="005020C9">
        <w:rPr>
          <w:color w:val="000000" w:themeColor="text1"/>
          <w:shd w:val="clear" w:color="auto" w:fill="FFFFFF"/>
        </w:rPr>
        <w:t>Bekun</w:t>
      </w:r>
      <w:proofErr w:type="spellEnd"/>
      <w:r w:rsidRPr="005020C9">
        <w:rPr>
          <w:color w:val="000000" w:themeColor="text1"/>
          <w:shd w:val="clear" w:color="auto" w:fill="FFFFFF"/>
        </w:rPr>
        <w:t xml:space="preserve">, F. V. (2020). Environmental management amidst energy use, </w:t>
      </w:r>
    </w:p>
    <w:p w:rsidR="00D50092" w:rsidRPr="00884FEC" w:rsidRDefault="00D50092" w:rsidP="00D50092">
      <w:pPr>
        <w:jc w:val="both"/>
        <w:rPr>
          <w:i/>
          <w:iCs/>
          <w:color w:val="000000" w:themeColor="text1"/>
          <w:shd w:val="clear" w:color="auto" w:fill="FFFFFF"/>
        </w:rPr>
      </w:pPr>
      <w:r w:rsidRPr="00884FEC">
        <w:rPr>
          <w:color w:val="000000" w:themeColor="text1"/>
          <w:shd w:val="clear" w:color="auto" w:fill="FFFFFF"/>
        </w:rPr>
        <w:t xml:space="preserve">       urbanization, trade openness, and deforestation: The Nigerian experience. </w:t>
      </w:r>
      <w:r w:rsidRPr="00884FEC">
        <w:rPr>
          <w:i/>
          <w:iCs/>
          <w:color w:val="000000" w:themeColor="text1"/>
          <w:shd w:val="clear" w:color="auto" w:fill="FFFFFF"/>
        </w:rPr>
        <w:t>Journal of Public</w:t>
      </w:r>
    </w:p>
    <w:p w:rsidR="00D50092" w:rsidRPr="00884FEC" w:rsidRDefault="00D50092" w:rsidP="00D50092">
      <w:pPr>
        <w:jc w:val="both"/>
        <w:rPr>
          <w:color w:val="000000" w:themeColor="text1"/>
          <w:shd w:val="clear" w:color="auto" w:fill="FFFFFF"/>
        </w:rPr>
      </w:pPr>
      <w:r w:rsidRPr="00884FEC">
        <w:rPr>
          <w:i/>
          <w:iCs/>
          <w:color w:val="000000" w:themeColor="text1"/>
          <w:shd w:val="clear" w:color="auto" w:fill="FFFFFF"/>
        </w:rPr>
        <w:t xml:space="preserve">      Affairs</w:t>
      </w:r>
      <w:r w:rsidRPr="00884FEC">
        <w:rPr>
          <w:color w:val="000000" w:themeColor="text1"/>
          <w:shd w:val="clear" w:color="auto" w:fill="FFFFFF"/>
        </w:rPr>
        <w:t>, </w:t>
      </w:r>
      <w:r w:rsidRPr="00884FEC">
        <w:rPr>
          <w:i/>
          <w:iCs/>
          <w:color w:val="000000" w:themeColor="text1"/>
          <w:shd w:val="clear" w:color="auto" w:fill="FFFFFF"/>
        </w:rPr>
        <w:t>20</w:t>
      </w:r>
      <w:r w:rsidRPr="00884FEC">
        <w:rPr>
          <w:color w:val="000000" w:themeColor="text1"/>
          <w:shd w:val="clear" w:color="auto" w:fill="FFFFFF"/>
        </w:rPr>
        <w:t>(2), e2037.</w:t>
      </w:r>
    </w:p>
    <w:p w:rsidR="00D50092"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r w:rsidRPr="005020C9">
        <w:rPr>
          <w:color w:val="000000" w:themeColor="text1"/>
          <w:shd w:val="clear" w:color="auto" w:fill="FFFFFF"/>
        </w:rPr>
        <w:t>Nathaniel, S. P., &amp;</w:t>
      </w:r>
      <w:proofErr w:type="spellStart"/>
      <w:r w:rsidRPr="005020C9">
        <w:rPr>
          <w:color w:val="000000" w:themeColor="text1"/>
          <w:shd w:val="clear" w:color="auto" w:fill="FFFFFF"/>
        </w:rPr>
        <w:t>Bekun</w:t>
      </w:r>
      <w:proofErr w:type="spellEnd"/>
      <w:r w:rsidRPr="005020C9">
        <w:rPr>
          <w:color w:val="000000" w:themeColor="text1"/>
          <w:shd w:val="clear" w:color="auto" w:fill="FFFFFF"/>
        </w:rPr>
        <w:t xml:space="preserve">, F. V. (2021). Electricity consumption, urbanization, and economic </w:t>
      </w:r>
    </w:p>
    <w:p w:rsidR="00D50092" w:rsidRPr="00884FEC" w:rsidRDefault="00D50092" w:rsidP="00D50092">
      <w:pPr>
        <w:jc w:val="both"/>
        <w:rPr>
          <w:color w:val="000000" w:themeColor="text1"/>
          <w:shd w:val="clear" w:color="auto" w:fill="FFFFFF"/>
        </w:rPr>
      </w:pPr>
      <w:r w:rsidRPr="00884FEC">
        <w:rPr>
          <w:color w:val="000000" w:themeColor="text1"/>
          <w:shd w:val="clear" w:color="auto" w:fill="FFFFFF"/>
        </w:rPr>
        <w:t xml:space="preserve">        growth in Nigeria: New insights from combined cointegration amidst structural</w:t>
      </w:r>
    </w:p>
    <w:p w:rsidR="00D50092" w:rsidRDefault="00D50092" w:rsidP="00D50092">
      <w:pPr>
        <w:jc w:val="both"/>
        <w:rPr>
          <w:color w:val="000000" w:themeColor="text1"/>
          <w:shd w:val="clear" w:color="auto" w:fill="FFFFFF"/>
        </w:rPr>
      </w:pPr>
      <w:r w:rsidRPr="00884FEC">
        <w:rPr>
          <w:color w:val="000000" w:themeColor="text1"/>
          <w:shd w:val="clear" w:color="auto" w:fill="FFFFFF"/>
        </w:rPr>
        <w:t xml:space="preserve">        breaks. </w:t>
      </w:r>
      <w:r w:rsidRPr="00884FEC">
        <w:rPr>
          <w:i/>
          <w:iCs/>
          <w:color w:val="000000" w:themeColor="text1"/>
          <w:shd w:val="clear" w:color="auto" w:fill="FFFFFF"/>
        </w:rPr>
        <w:t>Journal of Public Affairs</w:t>
      </w:r>
      <w:r w:rsidRPr="00884FEC">
        <w:rPr>
          <w:color w:val="000000" w:themeColor="text1"/>
          <w:shd w:val="clear" w:color="auto" w:fill="FFFFFF"/>
        </w:rPr>
        <w:t>, </w:t>
      </w:r>
      <w:r w:rsidRPr="00884FEC">
        <w:rPr>
          <w:i/>
          <w:iCs/>
          <w:color w:val="000000" w:themeColor="text1"/>
          <w:shd w:val="clear" w:color="auto" w:fill="FFFFFF"/>
        </w:rPr>
        <w:t>21</w:t>
      </w:r>
      <w:r w:rsidRPr="00884FEC">
        <w:rPr>
          <w:color w:val="000000" w:themeColor="text1"/>
          <w:shd w:val="clear" w:color="auto" w:fill="FFFFFF"/>
        </w:rPr>
        <w:t>(1), e2102.</w:t>
      </w:r>
    </w:p>
    <w:p w:rsidR="00D50092" w:rsidRPr="00884FEC"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proofErr w:type="spellStart"/>
      <w:r w:rsidRPr="005020C9">
        <w:rPr>
          <w:color w:val="000000" w:themeColor="text1"/>
          <w:shd w:val="clear" w:color="auto" w:fill="FFFFFF"/>
        </w:rPr>
        <w:t>Nkalo</w:t>
      </w:r>
      <w:proofErr w:type="spellEnd"/>
      <w:r w:rsidRPr="005020C9">
        <w:rPr>
          <w:color w:val="000000" w:themeColor="text1"/>
          <w:shd w:val="clear" w:color="auto" w:fill="FFFFFF"/>
        </w:rPr>
        <w:t>, U. K., &amp;</w:t>
      </w:r>
      <w:proofErr w:type="spellStart"/>
      <w:r w:rsidRPr="005020C9">
        <w:rPr>
          <w:color w:val="000000" w:themeColor="text1"/>
          <w:shd w:val="clear" w:color="auto" w:fill="FFFFFF"/>
        </w:rPr>
        <w:t>Agwu</w:t>
      </w:r>
      <w:proofErr w:type="spellEnd"/>
      <w:r w:rsidRPr="005020C9">
        <w:rPr>
          <w:color w:val="000000" w:themeColor="text1"/>
          <w:shd w:val="clear" w:color="auto" w:fill="FFFFFF"/>
        </w:rPr>
        <w:t>, E. O. (2019). Review of the impact of electricity supply on economic</w:t>
      </w:r>
    </w:p>
    <w:p w:rsidR="00D50092" w:rsidRDefault="00D50092" w:rsidP="00D50092">
      <w:pPr>
        <w:jc w:val="both"/>
        <w:rPr>
          <w:i/>
          <w:iCs/>
          <w:color w:val="000000" w:themeColor="text1"/>
          <w:shd w:val="clear" w:color="auto" w:fill="FFFFFF"/>
        </w:rPr>
      </w:pPr>
      <w:r w:rsidRPr="00884FEC">
        <w:rPr>
          <w:color w:val="000000" w:themeColor="text1"/>
          <w:shd w:val="clear" w:color="auto" w:fill="FFFFFF"/>
        </w:rPr>
        <w:lastRenderedPageBreak/>
        <w:t xml:space="preserve">       growth: A Nigerian case study. </w:t>
      </w:r>
      <w:r w:rsidRPr="00884FEC">
        <w:rPr>
          <w:i/>
          <w:iCs/>
          <w:color w:val="000000" w:themeColor="text1"/>
          <w:shd w:val="clear" w:color="auto" w:fill="FFFFFF"/>
        </w:rPr>
        <w:t xml:space="preserve">IOSR Journal of Electrical and Electronics </w:t>
      </w:r>
      <w:r>
        <w:rPr>
          <w:i/>
          <w:iCs/>
          <w:color w:val="000000" w:themeColor="text1"/>
          <w:shd w:val="clear" w:color="auto" w:fill="FFFFFF"/>
        </w:rPr>
        <w:t xml:space="preserve"> </w:t>
      </w:r>
    </w:p>
    <w:p w:rsidR="00D50092" w:rsidRDefault="00D50092" w:rsidP="00D50092">
      <w:pPr>
        <w:jc w:val="both"/>
        <w:rPr>
          <w:color w:val="000000" w:themeColor="text1"/>
          <w:shd w:val="clear" w:color="auto" w:fill="FFFFFF"/>
        </w:rPr>
      </w:pPr>
      <w:r>
        <w:rPr>
          <w:i/>
          <w:iCs/>
          <w:color w:val="000000" w:themeColor="text1"/>
          <w:shd w:val="clear" w:color="auto" w:fill="FFFFFF"/>
        </w:rPr>
        <w:t xml:space="preserve">       </w:t>
      </w:r>
      <w:r w:rsidRPr="00884FEC">
        <w:rPr>
          <w:i/>
          <w:iCs/>
          <w:color w:val="000000" w:themeColor="text1"/>
          <w:shd w:val="clear" w:color="auto" w:fill="FFFFFF"/>
        </w:rPr>
        <w:t>Engineering</w:t>
      </w:r>
      <w:r w:rsidRPr="00884FEC">
        <w:rPr>
          <w:color w:val="000000" w:themeColor="text1"/>
          <w:shd w:val="clear" w:color="auto" w:fill="FFFFFF"/>
        </w:rPr>
        <w:t>, </w:t>
      </w:r>
      <w:r w:rsidRPr="00884FEC">
        <w:rPr>
          <w:i/>
          <w:iCs/>
          <w:color w:val="000000" w:themeColor="text1"/>
          <w:shd w:val="clear" w:color="auto" w:fill="FFFFFF"/>
        </w:rPr>
        <w:t>14</w:t>
      </w:r>
      <w:r w:rsidRPr="00884FEC">
        <w:rPr>
          <w:color w:val="000000" w:themeColor="text1"/>
          <w:shd w:val="clear" w:color="auto" w:fill="FFFFFF"/>
        </w:rPr>
        <w:t>(1), 28-34.</w:t>
      </w:r>
    </w:p>
    <w:p w:rsidR="00D50092" w:rsidRPr="00D50092" w:rsidRDefault="00D50092" w:rsidP="00D50092">
      <w:pPr>
        <w:jc w:val="both"/>
        <w:rPr>
          <w:i/>
          <w:iCs/>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r w:rsidRPr="005020C9">
        <w:rPr>
          <w:color w:val="000000" w:themeColor="text1"/>
          <w:shd w:val="clear" w:color="auto" w:fill="FFFFFF"/>
        </w:rPr>
        <w:t>Oates, W. E. (1985). </w:t>
      </w:r>
      <w:r w:rsidRPr="005020C9">
        <w:rPr>
          <w:i/>
          <w:iCs/>
          <w:color w:val="000000" w:themeColor="text1"/>
          <w:shd w:val="clear" w:color="auto" w:fill="FFFFFF"/>
        </w:rPr>
        <w:t>On the nature and measurement of fiscal illusion: A survey</w:t>
      </w:r>
      <w:r w:rsidRPr="005020C9">
        <w:rPr>
          <w:color w:val="000000" w:themeColor="text1"/>
          <w:shd w:val="clear" w:color="auto" w:fill="FFFFFF"/>
        </w:rPr>
        <w:t xml:space="preserve">. College Park, </w:t>
      </w:r>
    </w:p>
    <w:p w:rsidR="00D50092" w:rsidRDefault="00D50092" w:rsidP="00D50092">
      <w:pPr>
        <w:jc w:val="both"/>
        <w:rPr>
          <w:color w:val="000000" w:themeColor="text1"/>
          <w:shd w:val="clear" w:color="auto" w:fill="FFFFFF"/>
        </w:rPr>
      </w:pPr>
      <w:r w:rsidRPr="00884FEC">
        <w:rPr>
          <w:color w:val="000000" w:themeColor="text1"/>
          <w:shd w:val="clear" w:color="auto" w:fill="FFFFFF"/>
        </w:rPr>
        <w:t xml:space="preserve">        MD: Department of Economics, University of Maryland.</w:t>
      </w:r>
    </w:p>
    <w:p w:rsidR="00D50092" w:rsidRPr="00884FEC"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proofErr w:type="spellStart"/>
      <w:r w:rsidRPr="005020C9">
        <w:rPr>
          <w:color w:val="000000" w:themeColor="text1"/>
          <w:shd w:val="clear" w:color="auto" w:fill="FFFFFF"/>
        </w:rPr>
        <w:t>Ologundudu</w:t>
      </w:r>
      <w:proofErr w:type="spellEnd"/>
      <w:r w:rsidRPr="005020C9">
        <w:rPr>
          <w:color w:val="000000" w:themeColor="text1"/>
          <w:shd w:val="clear" w:color="auto" w:fill="FFFFFF"/>
        </w:rPr>
        <w:t>, M. M. (2014). The Epileptic Nature of Electricity Supply and its Consequences on</w:t>
      </w:r>
    </w:p>
    <w:p w:rsidR="00D50092" w:rsidRDefault="00D50092" w:rsidP="00D50092">
      <w:pPr>
        <w:jc w:val="both"/>
        <w:rPr>
          <w:color w:val="000000" w:themeColor="text1"/>
          <w:shd w:val="clear" w:color="auto" w:fill="FFFFFF"/>
        </w:rPr>
      </w:pPr>
      <w:r w:rsidRPr="00884FEC">
        <w:rPr>
          <w:color w:val="000000" w:themeColor="text1"/>
          <w:shd w:val="clear" w:color="auto" w:fill="FFFFFF"/>
        </w:rPr>
        <w:t xml:space="preserve">        Industrial and Economic Performance in Nigeria (Error Correction Model </w:t>
      </w:r>
      <w:r>
        <w:rPr>
          <w:color w:val="000000" w:themeColor="text1"/>
          <w:shd w:val="clear" w:color="auto" w:fill="FFFFFF"/>
        </w:rPr>
        <w:t xml:space="preserve"> </w:t>
      </w:r>
    </w:p>
    <w:p w:rsidR="00D50092" w:rsidRPr="00D50092" w:rsidRDefault="00D50092" w:rsidP="00D50092">
      <w:pPr>
        <w:jc w:val="both"/>
        <w:rPr>
          <w:i/>
          <w:iCs/>
          <w:color w:val="000000" w:themeColor="text1"/>
          <w:shd w:val="clear" w:color="auto" w:fill="FFFFFF"/>
        </w:rPr>
      </w:pPr>
      <w:r>
        <w:rPr>
          <w:color w:val="000000" w:themeColor="text1"/>
          <w:shd w:val="clear" w:color="auto" w:fill="FFFFFF"/>
        </w:rPr>
        <w:t xml:space="preserve">         </w:t>
      </w:r>
      <w:r w:rsidRPr="00884FEC">
        <w:rPr>
          <w:color w:val="000000" w:themeColor="text1"/>
          <w:shd w:val="clear" w:color="auto" w:fill="FFFFFF"/>
        </w:rPr>
        <w:t>approach. </w:t>
      </w:r>
      <w:r w:rsidRPr="00884FEC">
        <w:rPr>
          <w:i/>
          <w:iCs/>
          <w:color w:val="000000" w:themeColor="text1"/>
          <w:shd w:val="clear" w:color="auto" w:fill="FFFFFF"/>
        </w:rPr>
        <w:t>Global Journal of Research in Engineering</w:t>
      </w:r>
      <w:r w:rsidRPr="00884FEC">
        <w:rPr>
          <w:color w:val="000000" w:themeColor="text1"/>
          <w:shd w:val="clear" w:color="auto" w:fill="FFFFFF"/>
        </w:rPr>
        <w:t>.</w:t>
      </w:r>
    </w:p>
    <w:p w:rsidR="00D50092" w:rsidRPr="00884FEC"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rPr>
          <w:color w:val="000000" w:themeColor="text1"/>
          <w:shd w:val="clear" w:color="auto" w:fill="FFFFFF"/>
        </w:rPr>
      </w:pPr>
      <w:proofErr w:type="spellStart"/>
      <w:r w:rsidRPr="005020C9">
        <w:rPr>
          <w:color w:val="000000" w:themeColor="text1"/>
          <w:shd w:val="clear" w:color="auto" w:fill="FFFFFF"/>
        </w:rPr>
        <w:t>Ologundudu</w:t>
      </w:r>
      <w:proofErr w:type="spellEnd"/>
      <w:r w:rsidRPr="005020C9">
        <w:rPr>
          <w:color w:val="000000" w:themeColor="text1"/>
          <w:shd w:val="clear" w:color="auto" w:fill="FFFFFF"/>
        </w:rPr>
        <w:t>, M. M. (2015). The impact of electricity supply on industrial and economic performance in Nigeria. </w:t>
      </w:r>
      <w:r w:rsidRPr="005020C9">
        <w:rPr>
          <w:i/>
          <w:iCs/>
          <w:color w:val="000000" w:themeColor="text1"/>
          <w:shd w:val="clear" w:color="auto" w:fill="FFFFFF"/>
        </w:rPr>
        <w:t>International Global Journal of Management and Business</w:t>
      </w:r>
    </w:p>
    <w:p w:rsidR="00D50092" w:rsidRDefault="00D50092" w:rsidP="00D50092">
      <w:pPr>
        <w:jc w:val="both"/>
        <w:rPr>
          <w:color w:val="000000" w:themeColor="text1"/>
          <w:shd w:val="clear" w:color="auto" w:fill="FFFFFF"/>
        </w:rPr>
      </w:pPr>
      <w:r w:rsidRPr="00884FEC">
        <w:rPr>
          <w:i/>
          <w:iCs/>
          <w:color w:val="000000" w:themeColor="text1"/>
          <w:shd w:val="clear" w:color="auto" w:fill="FFFFFF"/>
        </w:rPr>
        <w:t xml:space="preserve">      Research</w:t>
      </w:r>
      <w:r w:rsidRPr="00884FEC">
        <w:rPr>
          <w:color w:val="000000" w:themeColor="text1"/>
          <w:shd w:val="clear" w:color="auto" w:fill="FFFFFF"/>
        </w:rPr>
        <w:t>, </w:t>
      </w:r>
      <w:r w:rsidRPr="00884FEC">
        <w:rPr>
          <w:i/>
          <w:iCs/>
          <w:color w:val="000000" w:themeColor="text1"/>
          <w:shd w:val="clear" w:color="auto" w:fill="FFFFFF"/>
        </w:rPr>
        <w:t>2</w:t>
      </w:r>
      <w:r w:rsidRPr="00884FEC">
        <w:rPr>
          <w:color w:val="000000" w:themeColor="text1"/>
          <w:shd w:val="clear" w:color="auto" w:fill="FFFFFF"/>
        </w:rPr>
        <w:t>(4), 9-28.</w:t>
      </w:r>
    </w:p>
    <w:p w:rsidR="00D50092" w:rsidRPr="00884FEC"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r w:rsidRPr="005020C9">
        <w:rPr>
          <w:color w:val="000000" w:themeColor="text1"/>
          <w:shd w:val="clear" w:color="auto" w:fill="FFFFFF"/>
        </w:rPr>
        <w:t>Olufemi, O. J. (2015). The effects of electricity consumption on industrial growth in Nigeria. </w:t>
      </w:r>
    </w:p>
    <w:p w:rsidR="00D50092" w:rsidRDefault="00D50092" w:rsidP="00D50092">
      <w:pPr>
        <w:jc w:val="both"/>
        <w:rPr>
          <w:color w:val="000000" w:themeColor="text1"/>
          <w:shd w:val="clear" w:color="auto" w:fill="FFFFFF"/>
        </w:rPr>
      </w:pPr>
      <w:r w:rsidRPr="00884FEC">
        <w:rPr>
          <w:i/>
          <w:iCs/>
          <w:color w:val="000000" w:themeColor="text1"/>
          <w:shd w:val="clear" w:color="auto" w:fill="FFFFFF"/>
        </w:rPr>
        <w:t xml:space="preserve">        Energy</w:t>
      </w:r>
      <w:r w:rsidRPr="00884FEC">
        <w:rPr>
          <w:color w:val="000000" w:themeColor="text1"/>
          <w:shd w:val="clear" w:color="auto" w:fill="FFFFFF"/>
        </w:rPr>
        <w:t>, </w:t>
      </w:r>
      <w:r w:rsidRPr="00884FEC">
        <w:rPr>
          <w:i/>
          <w:iCs/>
          <w:color w:val="000000" w:themeColor="text1"/>
          <w:shd w:val="clear" w:color="auto" w:fill="FFFFFF"/>
        </w:rPr>
        <w:t>6</w:t>
      </w:r>
      <w:r w:rsidRPr="00884FEC">
        <w:rPr>
          <w:color w:val="000000" w:themeColor="text1"/>
          <w:shd w:val="clear" w:color="auto" w:fill="FFFFFF"/>
        </w:rPr>
        <w:t>(13), 54-59.</w:t>
      </w:r>
    </w:p>
    <w:p w:rsidR="00D50092" w:rsidRPr="00884FEC" w:rsidRDefault="00D50092" w:rsidP="00D50092">
      <w:pPr>
        <w:jc w:val="both"/>
        <w:rPr>
          <w:color w:val="000000" w:themeColor="text1"/>
          <w:shd w:val="clear" w:color="auto" w:fill="FFFFFF"/>
        </w:rPr>
      </w:pPr>
    </w:p>
    <w:p w:rsidR="00D50092" w:rsidRPr="005020C9" w:rsidRDefault="00D50092" w:rsidP="005020C9">
      <w:pPr>
        <w:pStyle w:val="ListParagraph"/>
        <w:numPr>
          <w:ilvl w:val="0"/>
          <w:numId w:val="2"/>
        </w:numPr>
        <w:jc w:val="both"/>
        <w:rPr>
          <w:color w:val="000000" w:themeColor="text1"/>
          <w:shd w:val="clear" w:color="auto" w:fill="FFFFFF"/>
        </w:rPr>
      </w:pPr>
      <w:proofErr w:type="spellStart"/>
      <w:r w:rsidRPr="005020C9">
        <w:rPr>
          <w:color w:val="000000" w:themeColor="text1"/>
          <w:shd w:val="clear" w:color="auto" w:fill="FFFFFF"/>
        </w:rPr>
        <w:t>Osobase</w:t>
      </w:r>
      <w:proofErr w:type="spellEnd"/>
      <w:r w:rsidRPr="005020C9">
        <w:rPr>
          <w:color w:val="000000" w:themeColor="text1"/>
          <w:shd w:val="clear" w:color="auto" w:fill="FFFFFF"/>
        </w:rPr>
        <w:t>, A. O., &amp; Bakare, A. T. (2014). The nexus between electricity generation, supply and</w:t>
      </w:r>
    </w:p>
    <w:p w:rsidR="00D50092" w:rsidRPr="00884FEC" w:rsidRDefault="00D50092" w:rsidP="00D50092">
      <w:pPr>
        <w:jc w:val="both"/>
        <w:rPr>
          <w:i/>
          <w:iCs/>
          <w:color w:val="000000" w:themeColor="text1"/>
          <w:shd w:val="clear" w:color="auto" w:fill="FFFFFF"/>
        </w:rPr>
      </w:pPr>
      <w:r w:rsidRPr="00884FEC">
        <w:rPr>
          <w:color w:val="000000" w:themeColor="text1"/>
          <w:shd w:val="clear" w:color="auto" w:fill="FFFFFF"/>
        </w:rPr>
        <w:t xml:space="preserve">        manufacturing sector performance in Nigeria (1975-2011). </w:t>
      </w:r>
      <w:r w:rsidRPr="00884FEC">
        <w:rPr>
          <w:i/>
          <w:iCs/>
          <w:color w:val="000000" w:themeColor="text1"/>
          <w:shd w:val="clear" w:color="auto" w:fill="FFFFFF"/>
        </w:rPr>
        <w:t>International Journal of</w:t>
      </w:r>
    </w:p>
    <w:p w:rsidR="00D50092" w:rsidRPr="00884FEC" w:rsidRDefault="00D50092" w:rsidP="00D50092">
      <w:pPr>
        <w:jc w:val="both"/>
        <w:rPr>
          <w:color w:val="000000" w:themeColor="text1"/>
          <w:shd w:val="clear" w:color="auto" w:fill="FFFFFF"/>
        </w:rPr>
      </w:pPr>
      <w:r w:rsidRPr="00884FEC">
        <w:rPr>
          <w:i/>
          <w:iCs/>
          <w:color w:val="000000" w:themeColor="text1"/>
          <w:shd w:val="clear" w:color="auto" w:fill="FFFFFF"/>
        </w:rPr>
        <w:t xml:space="preserve">       Management Sciences and Humanities</w:t>
      </w:r>
      <w:r w:rsidRPr="00884FEC">
        <w:rPr>
          <w:color w:val="000000" w:themeColor="text1"/>
          <w:shd w:val="clear" w:color="auto" w:fill="FFFFFF"/>
        </w:rPr>
        <w:t>, </w:t>
      </w:r>
      <w:r w:rsidRPr="00884FEC">
        <w:rPr>
          <w:i/>
          <w:iCs/>
          <w:color w:val="000000" w:themeColor="text1"/>
          <w:shd w:val="clear" w:color="auto" w:fill="FFFFFF"/>
        </w:rPr>
        <w:t>2</w:t>
      </w:r>
      <w:r w:rsidRPr="00884FEC">
        <w:rPr>
          <w:color w:val="000000" w:themeColor="text1"/>
          <w:shd w:val="clear" w:color="auto" w:fill="FFFFFF"/>
        </w:rPr>
        <w:t>(2), 123-139.</w:t>
      </w:r>
    </w:p>
    <w:p w:rsidR="00D50092" w:rsidRDefault="00D50092" w:rsidP="00445348">
      <w:pPr>
        <w:ind w:left="630" w:hanging="630"/>
        <w:jc w:val="both"/>
        <w:rPr>
          <w:color w:val="000000" w:themeColor="text1"/>
          <w:shd w:val="clear" w:color="auto" w:fill="FFFFFF"/>
        </w:rPr>
      </w:pPr>
    </w:p>
    <w:p w:rsidR="00445348" w:rsidRPr="005020C9" w:rsidRDefault="00445348" w:rsidP="005020C9">
      <w:pPr>
        <w:pStyle w:val="ListParagraph"/>
        <w:numPr>
          <w:ilvl w:val="0"/>
          <w:numId w:val="2"/>
        </w:numPr>
        <w:jc w:val="both"/>
        <w:rPr>
          <w:color w:val="000000" w:themeColor="text1"/>
          <w:shd w:val="clear" w:color="auto" w:fill="FFFFFF"/>
        </w:rPr>
      </w:pPr>
      <w:r w:rsidRPr="005020C9">
        <w:rPr>
          <w:color w:val="000000" w:themeColor="text1"/>
          <w:shd w:val="clear" w:color="auto" w:fill="FFFFFF"/>
        </w:rPr>
        <w:t>Oyeyemi, A. M. (2018). Disaggregate energy supply and industrial output in Nigeria. </w:t>
      </w:r>
      <w:r w:rsidRPr="005020C9">
        <w:rPr>
          <w:i/>
          <w:iCs/>
          <w:color w:val="000000" w:themeColor="text1"/>
          <w:shd w:val="clear" w:color="auto" w:fill="FFFFFF"/>
        </w:rPr>
        <w:t>International Journal of Economics, Business and Management Research</w:t>
      </w:r>
      <w:r w:rsidRPr="005020C9">
        <w:rPr>
          <w:color w:val="000000" w:themeColor="text1"/>
          <w:shd w:val="clear" w:color="auto" w:fill="FFFFFF"/>
        </w:rPr>
        <w:t>, </w:t>
      </w:r>
      <w:r w:rsidRPr="005020C9">
        <w:rPr>
          <w:i/>
          <w:iCs/>
          <w:color w:val="000000" w:themeColor="text1"/>
          <w:shd w:val="clear" w:color="auto" w:fill="FFFFFF"/>
        </w:rPr>
        <w:t>2</w:t>
      </w:r>
      <w:r w:rsidRPr="005020C9">
        <w:rPr>
          <w:color w:val="000000" w:themeColor="text1"/>
          <w:shd w:val="clear" w:color="auto" w:fill="FFFFFF"/>
        </w:rPr>
        <w:t>(2), 154-172.</w:t>
      </w:r>
    </w:p>
    <w:p w:rsidR="00D50092" w:rsidRPr="00FD0A83" w:rsidRDefault="00D50092" w:rsidP="00445348">
      <w:pPr>
        <w:ind w:left="630" w:hanging="630"/>
        <w:jc w:val="both"/>
        <w:rPr>
          <w:i/>
          <w:iCs/>
          <w:color w:val="000000" w:themeColor="text1"/>
          <w:shd w:val="clear" w:color="auto" w:fill="FFFFFF"/>
        </w:rPr>
      </w:pPr>
    </w:p>
    <w:p w:rsidR="00445348" w:rsidRPr="005020C9" w:rsidRDefault="00445348" w:rsidP="005020C9">
      <w:pPr>
        <w:pStyle w:val="ListParagraph"/>
        <w:numPr>
          <w:ilvl w:val="0"/>
          <w:numId w:val="2"/>
        </w:numPr>
        <w:jc w:val="both"/>
        <w:rPr>
          <w:color w:val="000000" w:themeColor="text1"/>
          <w:shd w:val="clear" w:color="auto" w:fill="FFFFFF"/>
        </w:rPr>
      </w:pPr>
      <w:r w:rsidRPr="005020C9">
        <w:rPr>
          <w:color w:val="000000" w:themeColor="text1"/>
          <w:shd w:val="clear" w:color="auto" w:fill="FFFFFF"/>
        </w:rPr>
        <w:t xml:space="preserve">Salmon, C., &amp; Tanguy, J. (2016). Rural electrification and household labor supply: Evidence </w:t>
      </w:r>
      <w:r w:rsidR="00D50092" w:rsidRPr="005020C9">
        <w:rPr>
          <w:color w:val="000000" w:themeColor="text1"/>
          <w:shd w:val="clear" w:color="auto" w:fill="FFFFFF"/>
        </w:rPr>
        <w:t>from Nigeria</w:t>
      </w:r>
      <w:r w:rsidRPr="005020C9">
        <w:rPr>
          <w:color w:val="000000" w:themeColor="text1"/>
          <w:shd w:val="clear" w:color="auto" w:fill="FFFFFF"/>
        </w:rPr>
        <w:t>. </w:t>
      </w:r>
      <w:r w:rsidRPr="005020C9">
        <w:rPr>
          <w:i/>
          <w:iCs/>
          <w:color w:val="000000" w:themeColor="text1"/>
          <w:shd w:val="clear" w:color="auto" w:fill="FFFFFF"/>
        </w:rPr>
        <w:t>World development</w:t>
      </w:r>
      <w:r w:rsidRPr="005020C9">
        <w:rPr>
          <w:color w:val="000000" w:themeColor="text1"/>
          <w:shd w:val="clear" w:color="auto" w:fill="FFFFFF"/>
        </w:rPr>
        <w:t>, </w:t>
      </w:r>
      <w:r w:rsidRPr="005020C9">
        <w:rPr>
          <w:i/>
          <w:iCs/>
          <w:color w:val="000000" w:themeColor="text1"/>
          <w:shd w:val="clear" w:color="auto" w:fill="FFFFFF"/>
        </w:rPr>
        <w:t>82</w:t>
      </w:r>
      <w:r w:rsidRPr="005020C9">
        <w:rPr>
          <w:color w:val="000000" w:themeColor="text1"/>
          <w:shd w:val="clear" w:color="auto" w:fill="FFFFFF"/>
        </w:rPr>
        <w:t>, 48-68.</w:t>
      </w:r>
    </w:p>
    <w:p w:rsidR="00D50092" w:rsidRPr="00884FEC" w:rsidRDefault="00D50092" w:rsidP="00445348">
      <w:pPr>
        <w:ind w:left="630" w:hanging="630"/>
        <w:jc w:val="both"/>
        <w:rPr>
          <w:color w:val="000000" w:themeColor="text1"/>
          <w:shd w:val="clear" w:color="auto" w:fill="FFFFFF"/>
        </w:rPr>
      </w:pPr>
    </w:p>
    <w:p w:rsidR="00445348" w:rsidRPr="005020C9" w:rsidRDefault="00445348" w:rsidP="005020C9">
      <w:pPr>
        <w:pStyle w:val="ListParagraph"/>
        <w:numPr>
          <w:ilvl w:val="0"/>
          <w:numId w:val="2"/>
        </w:numPr>
        <w:jc w:val="both"/>
        <w:rPr>
          <w:color w:val="000000" w:themeColor="text1"/>
          <w:shd w:val="clear" w:color="auto" w:fill="FFFFFF"/>
        </w:rPr>
      </w:pPr>
      <w:r w:rsidRPr="005020C9">
        <w:rPr>
          <w:color w:val="000000" w:themeColor="text1"/>
          <w:shd w:val="clear" w:color="auto" w:fill="FFFFFF"/>
        </w:rPr>
        <w:t>Sankaran, A., Kumar, S., Arjun, K., &amp; Das, M. (2019). Estimating the causal relationship between electricity consumption and industrial output: ARDL bounds and Toda-Yamamoto approaches for ten late industrialized countries. </w:t>
      </w:r>
      <w:proofErr w:type="spellStart"/>
      <w:r w:rsidRPr="005020C9">
        <w:rPr>
          <w:i/>
          <w:iCs/>
          <w:color w:val="000000" w:themeColor="text1"/>
          <w:shd w:val="clear" w:color="auto" w:fill="FFFFFF"/>
        </w:rPr>
        <w:t>Heliyon</w:t>
      </w:r>
      <w:proofErr w:type="spellEnd"/>
      <w:r w:rsidRPr="005020C9">
        <w:rPr>
          <w:color w:val="000000" w:themeColor="text1"/>
          <w:shd w:val="clear" w:color="auto" w:fill="FFFFFF"/>
        </w:rPr>
        <w:t>, </w:t>
      </w:r>
      <w:r w:rsidRPr="005020C9">
        <w:rPr>
          <w:i/>
          <w:iCs/>
          <w:color w:val="000000" w:themeColor="text1"/>
          <w:shd w:val="clear" w:color="auto" w:fill="FFFFFF"/>
        </w:rPr>
        <w:t>5</w:t>
      </w:r>
      <w:r w:rsidRPr="005020C9">
        <w:rPr>
          <w:color w:val="000000" w:themeColor="text1"/>
          <w:shd w:val="clear" w:color="auto" w:fill="FFFFFF"/>
        </w:rPr>
        <w:t>(6), e0190</w:t>
      </w:r>
      <w:bookmarkStart w:id="0" w:name="_GoBack"/>
      <w:bookmarkEnd w:id="0"/>
      <w:r w:rsidRPr="005020C9">
        <w:rPr>
          <w:color w:val="000000" w:themeColor="text1"/>
          <w:shd w:val="clear" w:color="auto" w:fill="FFFFFF"/>
        </w:rPr>
        <w:t>4.</w:t>
      </w:r>
    </w:p>
    <w:sectPr w:rsidR="00445348" w:rsidRPr="005020C9" w:rsidSect="000971B3">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07A4" w:rsidRDefault="004207A4" w:rsidP="00243F1B">
      <w:r>
        <w:separator/>
      </w:r>
    </w:p>
  </w:endnote>
  <w:endnote w:type="continuationSeparator" w:id="0">
    <w:p w:rsidR="004207A4" w:rsidRDefault="004207A4" w:rsidP="0024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ft-Regular">
    <w:altName w:val="MS Gothic"/>
    <w:panose1 w:val="00000000000000000000"/>
    <w:charset w:val="80"/>
    <w:family w:val="auto"/>
    <w:notTrueType/>
    <w:pitch w:val="default"/>
    <w:sig w:usb0="00000001" w:usb1="08070000" w:usb2="00000010" w:usb3="00000000" w:csb0="00020000"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6546141"/>
      <w:docPartObj>
        <w:docPartGallery w:val="Page Numbers (Bottom of Page)"/>
        <w:docPartUnique/>
      </w:docPartObj>
    </w:sdtPr>
    <w:sdtEndPr/>
    <w:sdtContent>
      <w:p w:rsidR="00B66A9C" w:rsidRDefault="00B66A9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66A9C" w:rsidRDefault="00B66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07A4" w:rsidRDefault="004207A4" w:rsidP="00243F1B">
      <w:r>
        <w:separator/>
      </w:r>
    </w:p>
  </w:footnote>
  <w:footnote w:type="continuationSeparator" w:id="0">
    <w:p w:rsidR="004207A4" w:rsidRDefault="004207A4" w:rsidP="0024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66AC3"/>
    <w:multiLevelType w:val="hybridMultilevel"/>
    <w:tmpl w:val="034E3A50"/>
    <w:lvl w:ilvl="0" w:tplc="E3B05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835DE"/>
    <w:multiLevelType w:val="hybridMultilevel"/>
    <w:tmpl w:val="7B3C10C2"/>
    <w:lvl w:ilvl="0" w:tplc="5F2A661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82D99"/>
    <w:multiLevelType w:val="hybridMultilevel"/>
    <w:tmpl w:val="5402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E322B"/>
    <w:multiLevelType w:val="hybridMultilevel"/>
    <w:tmpl w:val="3EDE5F3C"/>
    <w:lvl w:ilvl="0" w:tplc="826AA2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40D2"/>
    <w:rsid w:val="000314EB"/>
    <w:rsid w:val="000965B9"/>
    <w:rsid w:val="000971B3"/>
    <w:rsid w:val="000C034C"/>
    <w:rsid w:val="000F07CE"/>
    <w:rsid w:val="00120625"/>
    <w:rsid w:val="00123E75"/>
    <w:rsid w:val="00131A8A"/>
    <w:rsid w:val="00137AF7"/>
    <w:rsid w:val="001736B6"/>
    <w:rsid w:val="001A68DE"/>
    <w:rsid w:val="001A78FA"/>
    <w:rsid w:val="001A7980"/>
    <w:rsid w:val="001B0E7E"/>
    <w:rsid w:val="001E41F3"/>
    <w:rsid w:val="001F2971"/>
    <w:rsid w:val="001F40F0"/>
    <w:rsid w:val="0020782B"/>
    <w:rsid w:val="002140E8"/>
    <w:rsid w:val="00243F1B"/>
    <w:rsid w:val="002607A6"/>
    <w:rsid w:val="00265024"/>
    <w:rsid w:val="0028497A"/>
    <w:rsid w:val="002C756D"/>
    <w:rsid w:val="00325118"/>
    <w:rsid w:val="00331306"/>
    <w:rsid w:val="00333FF5"/>
    <w:rsid w:val="00354FA6"/>
    <w:rsid w:val="00374E6D"/>
    <w:rsid w:val="00382118"/>
    <w:rsid w:val="003942F6"/>
    <w:rsid w:val="003E440D"/>
    <w:rsid w:val="003F36AF"/>
    <w:rsid w:val="004207A4"/>
    <w:rsid w:val="00432008"/>
    <w:rsid w:val="00445348"/>
    <w:rsid w:val="00450C9A"/>
    <w:rsid w:val="00470539"/>
    <w:rsid w:val="00484E5E"/>
    <w:rsid w:val="004C23B2"/>
    <w:rsid w:val="004E3DF0"/>
    <w:rsid w:val="004E590B"/>
    <w:rsid w:val="005020C9"/>
    <w:rsid w:val="00504E8D"/>
    <w:rsid w:val="005B55A3"/>
    <w:rsid w:val="005C1F73"/>
    <w:rsid w:val="005E2F98"/>
    <w:rsid w:val="00615C54"/>
    <w:rsid w:val="00655B9B"/>
    <w:rsid w:val="00667F26"/>
    <w:rsid w:val="00692AB0"/>
    <w:rsid w:val="006E630A"/>
    <w:rsid w:val="00705C6A"/>
    <w:rsid w:val="0079247C"/>
    <w:rsid w:val="007C4C58"/>
    <w:rsid w:val="00821399"/>
    <w:rsid w:val="00846805"/>
    <w:rsid w:val="00861735"/>
    <w:rsid w:val="00884FEC"/>
    <w:rsid w:val="008F09E1"/>
    <w:rsid w:val="009321E9"/>
    <w:rsid w:val="00933406"/>
    <w:rsid w:val="009338D1"/>
    <w:rsid w:val="009611CA"/>
    <w:rsid w:val="0099585D"/>
    <w:rsid w:val="009E636B"/>
    <w:rsid w:val="009E67F5"/>
    <w:rsid w:val="00A632AF"/>
    <w:rsid w:val="00AB0CD4"/>
    <w:rsid w:val="00AD6ABF"/>
    <w:rsid w:val="00B4053D"/>
    <w:rsid w:val="00B514B4"/>
    <w:rsid w:val="00B66A9C"/>
    <w:rsid w:val="00C279DE"/>
    <w:rsid w:val="00CA078F"/>
    <w:rsid w:val="00CC1F13"/>
    <w:rsid w:val="00CD6A4E"/>
    <w:rsid w:val="00D24504"/>
    <w:rsid w:val="00D50092"/>
    <w:rsid w:val="00D70DFC"/>
    <w:rsid w:val="00DB2AEB"/>
    <w:rsid w:val="00DE620A"/>
    <w:rsid w:val="00E13878"/>
    <w:rsid w:val="00E4624D"/>
    <w:rsid w:val="00E714B3"/>
    <w:rsid w:val="00EB40D2"/>
    <w:rsid w:val="00EE5B19"/>
    <w:rsid w:val="00F10B5E"/>
    <w:rsid w:val="00F254AC"/>
    <w:rsid w:val="00F331FE"/>
    <w:rsid w:val="00F43FB8"/>
    <w:rsid w:val="00F77F5B"/>
    <w:rsid w:val="00FF0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30A6D-A1F7-4779-ACFC-EB7FFEF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0D2"/>
    <w:rPr>
      <w:color w:val="0000FF"/>
      <w:u w:val="single"/>
    </w:rPr>
  </w:style>
  <w:style w:type="paragraph" w:customStyle="1" w:styleId="Default">
    <w:name w:val="Default"/>
    <w:rsid w:val="00484E5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484E5E"/>
    <w:pPr>
      <w:spacing w:line="201" w:lineRule="atLeast"/>
    </w:pPr>
    <w:rPr>
      <w:color w:val="auto"/>
    </w:rPr>
  </w:style>
  <w:style w:type="character" w:customStyle="1" w:styleId="A8">
    <w:name w:val="A8"/>
    <w:uiPriority w:val="99"/>
    <w:rsid w:val="00484E5E"/>
    <w:rPr>
      <w:color w:val="000000"/>
      <w:sz w:val="19"/>
      <w:szCs w:val="19"/>
    </w:rPr>
  </w:style>
  <w:style w:type="character" w:customStyle="1" w:styleId="A10">
    <w:name w:val="A10"/>
    <w:uiPriority w:val="99"/>
    <w:rsid w:val="00484E5E"/>
    <w:rPr>
      <w:i/>
      <w:iCs/>
      <w:color w:val="000000"/>
      <w:sz w:val="11"/>
      <w:szCs w:val="11"/>
    </w:rPr>
  </w:style>
  <w:style w:type="paragraph" w:customStyle="1" w:styleId="Pa15">
    <w:name w:val="Pa15"/>
    <w:basedOn w:val="Normal"/>
    <w:next w:val="Normal"/>
    <w:uiPriority w:val="99"/>
    <w:rsid w:val="00484E5E"/>
    <w:pPr>
      <w:autoSpaceDE w:val="0"/>
      <w:autoSpaceDN w:val="0"/>
      <w:adjustRightInd w:val="0"/>
      <w:spacing w:line="201" w:lineRule="atLeast"/>
    </w:pPr>
    <w:rPr>
      <w:rFonts w:eastAsiaTheme="minorHAnsi"/>
    </w:rPr>
  </w:style>
  <w:style w:type="character" w:customStyle="1" w:styleId="A11">
    <w:name w:val="A11"/>
    <w:uiPriority w:val="99"/>
    <w:rsid w:val="00484E5E"/>
    <w:rPr>
      <w:i/>
      <w:iCs/>
      <w:color w:val="000000"/>
      <w:sz w:val="11"/>
      <w:szCs w:val="11"/>
    </w:rPr>
  </w:style>
  <w:style w:type="character" w:customStyle="1" w:styleId="topic-highlight">
    <w:name w:val="topic-highlight"/>
    <w:basedOn w:val="DefaultParagraphFont"/>
    <w:rsid w:val="009E636B"/>
  </w:style>
  <w:style w:type="paragraph" w:styleId="BalloonText">
    <w:name w:val="Balloon Text"/>
    <w:basedOn w:val="Normal"/>
    <w:link w:val="BalloonTextChar"/>
    <w:uiPriority w:val="99"/>
    <w:semiHidden/>
    <w:unhideWhenUsed/>
    <w:rsid w:val="0028497A"/>
    <w:rPr>
      <w:rFonts w:ascii="Tahoma" w:hAnsi="Tahoma" w:cs="Tahoma"/>
      <w:sz w:val="16"/>
      <w:szCs w:val="16"/>
    </w:rPr>
  </w:style>
  <w:style w:type="character" w:customStyle="1" w:styleId="BalloonTextChar">
    <w:name w:val="Balloon Text Char"/>
    <w:basedOn w:val="DefaultParagraphFont"/>
    <w:link w:val="BalloonText"/>
    <w:uiPriority w:val="99"/>
    <w:semiHidden/>
    <w:rsid w:val="0028497A"/>
    <w:rPr>
      <w:rFonts w:ascii="Tahoma" w:eastAsia="Times New Roman" w:hAnsi="Tahoma" w:cs="Tahoma"/>
      <w:sz w:val="16"/>
      <w:szCs w:val="16"/>
    </w:rPr>
  </w:style>
  <w:style w:type="character" w:styleId="PlaceholderText">
    <w:name w:val="Placeholder Text"/>
    <w:basedOn w:val="DefaultParagraphFont"/>
    <w:uiPriority w:val="99"/>
    <w:semiHidden/>
    <w:rsid w:val="00884FEC"/>
    <w:rPr>
      <w:color w:val="808080"/>
    </w:rPr>
  </w:style>
  <w:style w:type="paragraph" w:styleId="ListParagraph">
    <w:name w:val="List Paragraph"/>
    <w:basedOn w:val="Normal"/>
    <w:uiPriority w:val="34"/>
    <w:qFormat/>
    <w:rsid w:val="000965B9"/>
    <w:pPr>
      <w:ind w:left="720"/>
      <w:contextualSpacing/>
    </w:pPr>
  </w:style>
  <w:style w:type="paragraph" w:styleId="Header">
    <w:name w:val="header"/>
    <w:basedOn w:val="Normal"/>
    <w:link w:val="HeaderChar"/>
    <w:uiPriority w:val="99"/>
    <w:unhideWhenUsed/>
    <w:rsid w:val="00243F1B"/>
    <w:pPr>
      <w:tabs>
        <w:tab w:val="center" w:pos="4680"/>
        <w:tab w:val="right" w:pos="9360"/>
      </w:tabs>
    </w:pPr>
  </w:style>
  <w:style w:type="character" w:customStyle="1" w:styleId="HeaderChar">
    <w:name w:val="Header Char"/>
    <w:basedOn w:val="DefaultParagraphFont"/>
    <w:link w:val="Header"/>
    <w:uiPriority w:val="99"/>
    <w:rsid w:val="00243F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3F1B"/>
    <w:pPr>
      <w:tabs>
        <w:tab w:val="center" w:pos="4680"/>
        <w:tab w:val="right" w:pos="9360"/>
      </w:tabs>
    </w:pPr>
  </w:style>
  <w:style w:type="character" w:customStyle="1" w:styleId="FooterChar">
    <w:name w:val="Footer Char"/>
    <w:basedOn w:val="DefaultParagraphFont"/>
    <w:link w:val="Footer"/>
    <w:uiPriority w:val="99"/>
    <w:rsid w:val="00243F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250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financestrategists.com/finance-terms/gdp/" TargetMode="Externa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yperlink" Target="https://learn.financestrategists.com/finance-terms/goods-or-merchandise/" TargetMode="Externa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4.emf"/><Relationship Id="rId28"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oleObject" Target="embeddings/oleObject1.bin"/><Relationship Id="rId27" Type="http://schemas.openxmlformats.org/officeDocument/2006/relationships/image" Target="media/image16.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4668</Words>
  <Characters>26609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2023-03-26T11:16:00Z</dcterms:created>
  <dcterms:modified xsi:type="dcterms:W3CDTF">2023-03-26T13:25:00Z</dcterms:modified>
</cp:coreProperties>
</file>