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C32A" w14:textId="46993C35" w:rsidR="0084214D" w:rsidRPr="006A2448" w:rsidRDefault="00664BD5" w:rsidP="00347D63">
      <w:pPr>
        <w:snapToGrid w:val="0"/>
        <w:spacing w:after="0" w:line="240" w:lineRule="auto"/>
        <w:jc w:val="center"/>
        <w:rPr>
          <w:rFonts w:ascii="Garamond" w:hAnsi="Garamond"/>
          <w:b/>
          <w:sz w:val="28"/>
          <w:szCs w:val="28"/>
          <w:lang w:val="en-ID"/>
        </w:rPr>
      </w:pPr>
      <w:r w:rsidRPr="006A2448">
        <w:rPr>
          <w:noProof/>
          <w:lang w:val="id-ID" w:eastAsia="id-ID"/>
        </w:rPr>
        <mc:AlternateContent>
          <mc:Choice Requires="wps">
            <w:drawing>
              <wp:anchor distT="0" distB="0" distL="114300" distR="114300" simplePos="0" relativeHeight="251658752" behindDoc="0" locked="0" layoutInCell="1" allowOverlap="1" wp14:anchorId="18CA1DB4" wp14:editId="1CE22F0D">
                <wp:simplePos x="0" y="0"/>
                <wp:positionH relativeFrom="column">
                  <wp:posOffset>224790</wp:posOffset>
                </wp:positionH>
                <wp:positionV relativeFrom="paragraph">
                  <wp:posOffset>-116205</wp:posOffset>
                </wp:positionV>
                <wp:extent cx="5324475" cy="0"/>
                <wp:effectExtent l="15240" t="17145" r="1333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333C" id="_x0000_t32" coordsize="21600,21600" o:spt="32" o:oned="t" path="m,l21600,21600e" filled="f">
                <v:path arrowok="t" fillok="f" o:connecttype="none"/>
                <o:lock v:ext="edit" shapetype="t"/>
              </v:shapetype>
              <v:shape id="AutoShape 3" o:spid="_x0000_s1026" type="#_x0000_t32" style="position:absolute;margin-left:17.7pt;margin-top:-9.15pt;width:419.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" strokeweight="1.5pt"/>
            </w:pict>
          </mc:Fallback>
        </mc:AlternateContent>
      </w:r>
      <w:r w:rsidR="00347D63" w:rsidRPr="006A2448">
        <w:rPr>
          <w:rFonts w:ascii="Times New Roman"/>
          <w:b/>
          <w:bCs/>
          <w:sz w:val="28"/>
          <w:szCs w:val="28"/>
          <w:lang w:val="en-ID"/>
        </w:rPr>
        <w:t xml:space="preserve"> </w:t>
      </w:r>
      <w:r w:rsidR="00347D63" w:rsidRPr="006A2448">
        <w:rPr>
          <w:rFonts w:ascii="Garamond" w:hAnsi="Garamond"/>
          <w:b/>
          <w:bCs/>
          <w:sz w:val="28"/>
          <w:szCs w:val="28"/>
          <w:lang w:val="en-ID"/>
        </w:rPr>
        <w:t>RELIGIOUS AUTHORITY AND POLITICAL DYNAMICS: THE INFLUENCE OF FATWA ISSUANCE BY RELIGIOUS INSTITUTIONS ON POLITICAL DISCOURSES IN INDONESIA</w:t>
      </w:r>
    </w:p>
    <w:p w14:paraId="323D0072" w14:textId="77777777" w:rsidR="0084214D" w:rsidRPr="006A2448" w:rsidRDefault="0084214D">
      <w:pPr>
        <w:spacing w:after="0" w:line="240" w:lineRule="auto"/>
        <w:jc w:val="center"/>
        <w:rPr>
          <w:rFonts w:ascii="Garamond" w:hAnsi="Garamond" w:cs="Times New Roman"/>
          <w:b/>
          <w:sz w:val="24"/>
          <w:szCs w:val="24"/>
        </w:rPr>
      </w:pPr>
    </w:p>
    <w:p w14:paraId="31077513" w14:textId="77777777" w:rsidR="00B57869" w:rsidRPr="006A2448" w:rsidRDefault="00B57869" w:rsidP="00B57869">
      <w:pPr>
        <w:spacing w:after="0" w:line="240" w:lineRule="auto"/>
        <w:jc w:val="center"/>
        <w:rPr>
          <w:rFonts w:ascii="Garamond" w:hAnsi="Garamond"/>
          <w:b/>
          <w:i/>
          <w:iCs/>
          <w:sz w:val="24"/>
          <w:szCs w:val="24"/>
        </w:rPr>
      </w:pPr>
      <w:r w:rsidRPr="006A2448">
        <w:rPr>
          <w:rFonts w:ascii="Garamond" w:hAnsi="Garamond"/>
          <w:b/>
          <w:i/>
          <w:iCs/>
          <w:sz w:val="24"/>
          <w:szCs w:val="24"/>
        </w:rPr>
        <w:t xml:space="preserve">K. A. </w:t>
      </w:r>
      <w:proofErr w:type="spellStart"/>
      <w:r w:rsidRPr="006A2448">
        <w:rPr>
          <w:rFonts w:ascii="Garamond" w:hAnsi="Garamond"/>
          <w:b/>
          <w:i/>
          <w:iCs/>
          <w:sz w:val="24"/>
          <w:szCs w:val="24"/>
        </w:rPr>
        <w:t>Bukhori</w:t>
      </w:r>
      <w:proofErr w:type="spellEnd"/>
      <w:r w:rsidRPr="006A2448">
        <w:rPr>
          <w:rFonts w:ascii="Garamond" w:hAnsi="Garamond"/>
          <w:b/>
          <w:i/>
          <w:iCs/>
          <w:sz w:val="24"/>
          <w:szCs w:val="24"/>
        </w:rPr>
        <w:t xml:space="preserve"> </w:t>
      </w:r>
    </w:p>
    <w:p w14:paraId="06231493" w14:textId="77777777" w:rsidR="00B57869" w:rsidRPr="006A2448" w:rsidRDefault="00B57869" w:rsidP="00B57869">
      <w:pPr>
        <w:pStyle w:val="ListParagraph"/>
        <w:shd w:val="clear" w:color="auto" w:fill="FFFFFF"/>
        <w:tabs>
          <w:tab w:val="left" w:pos="709"/>
        </w:tabs>
        <w:spacing w:after="0" w:line="240" w:lineRule="auto"/>
        <w:ind w:left="0"/>
        <w:jc w:val="center"/>
        <w:rPr>
          <w:rFonts w:ascii="Garamond" w:hAnsi="Garamond"/>
        </w:rPr>
      </w:pPr>
      <w:r w:rsidRPr="006A2448">
        <w:rPr>
          <w:rFonts w:ascii="Garamond" w:hAnsi="Garamond"/>
        </w:rPr>
        <w:t>Universitas Islam Negeri Raden Fatah Palembang, Indonesia</w:t>
      </w:r>
    </w:p>
    <w:p w14:paraId="0AD90780" w14:textId="77777777" w:rsidR="00B57869" w:rsidRPr="006A2448" w:rsidRDefault="00B57869" w:rsidP="00B57869">
      <w:pPr>
        <w:spacing w:after="0" w:line="240" w:lineRule="auto"/>
        <w:jc w:val="center"/>
        <w:rPr>
          <w:rFonts w:ascii="Garamond" w:hAnsi="Garamond"/>
        </w:rPr>
      </w:pPr>
      <w:r w:rsidRPr="006A2448">
        <w:rPr>
          <w:rFonts w:ascii="Garamond" w:hAnsi="Garamond"/>
        </w:rPr>
        <w:t xml:space="preserve">Email: </w:t>
      </w:r>
      <w:hyperlink r:id="rId7" w:history="1">
        <w:r w:rsidRPr="006A2448">
          <w:rPr>
            <w:rStyle w:val="Hyperlink"/>
            <w:rFonts w:ascii="Garamond" w:hAnsi="Garamond"/>
            <w:color w:val="auto"/>
            <w:u w:val="none"/>
          </w:rPr>
          <w:t>bukhori_uin@radenfatah.ac.id</w:t>
        </w:r>
      </w:hyperlink>
      <w:r w:rsidRPr="006A2448">
        <w:rPr>
          <w:rFonts w:ascii="Garamond" w:hAnsi="Garamond"/>
        </w:rPr>
        <w:t xml:space="preserve"> </w:t>
      </w:r>
    </w:p>
    <w:p w14:paraId="4301608A" w14:textId="77777777" w:rsidR="00B57869" w:rsidRPr="006A2448" w:rsidRDefault="00B57869" w:rsidP="00B57869">
      <w:pPr>
        <w:spacing w:after="0" w:line="240" w:lineRule="auto"/>
        <w:jc w:val="center"/>
        <w:rPr>
          <w:rFonts w:ascii="Garamond" w:hAnsi="Garamond"/>
          <w:sz w:val="12"/>
          <w:szCs w:val="12"/>
        </w:rPr>
      </w:pPr>
    </w:p>
    <w:p w14:paraId="044F0191" w14:textId="77777777" w:rsidR="00B57869" w:rsidRPr="006A2448" w:rsidRDefault="00B57869" w:rsidP="00B57869">
      <w:pPr>
        <w:spacing w:after="0" w:line="240" w:lineRule="auto"/>
        <w:jc w:val="center"/>
        <w:rPr>
          <w:rFonts w:ascii="Garamond" w:hAnsi="Garamond"/>
          <w:sz w:val="12"/>
          <w:szCs w:val="12"/>
        </w:rPr>
      </w:pPr>
    </w:p>
    <w:p w14:paraId="26E159F6" w14:textId="77777777" w:rsidR="00B57869" w:rsidRPr="006A2448" w:rsidRDefault="00B57869" w:rsidP="00B57869">
      <w:pPr>
        <w:spacing w:after="0" w:line="240" w:lineRule="auto"/>
        <w:jc w:val="center"/>
        <w:rPr>
          <w:rFonts w:ascii="Garamond" w:hAnsi="Garamond"/>
          <w:i/>
          <w:iCs/>
          <w:sz w:val="24"/>
          <w:szCs w:val="24"/>
        </w:rPr>
      </w:pPr>
      <w:r w:rsidRPr="006A2448">
        <w:rPr>
          <w:rFonts w:ascii="Garamond" w:hAnsi="Garamond"/>
          <w:b/>
          <w:bCs/>
          <w:i/>
          <w:iCs/>
          <w:sz w:val="24"/>
          <w:szCs w:val="24"/>
        </w:rPr>
        <w:t xml:space="preserve">Kun </w:t>
      </w:r>
      <w:proofErr w:type="spellStart"/>
      <w:r w:rsidRPr="006A2448">
        <w:rPr>
          <w:rFonts w:ascii="Garamond" w:hAnsi="Garamond"/>
          <w:b/>
          <w:bCs/>
          <w:i/>
          <w:iCs/>
          <w:sz w:val="24"/>
          <w:szCs w:val="24"/>
        </w:rPr>
        <w:t>Budianto</w:t>
      </w:r>
      <w:proofErr w:type="spellEnd"/>
    </w:p>
    <w:p w14:paraId="2E450550" w14:textId="77777777" w:rsidR="00B57869" w:rsidRPr="006A2448" w:rsidRDefault="00B57869" w:rsidP="00B57869">
      <w:pPr>
        <w:pStyle w:val="ListParagraph"/>
        <w:shd w:val="clear" w:color="auto" w:fill="FFFFFF"/>
        <w:tabs>
          <w:tab w:val="left" w:pos="709"/>
        </w:tabs>
        <w:spacing w:after="0" w:line="240" w:lineRule="auto"/>
        <w:ind w:left="0"/>
        <w:jc w:val="center"/>
        <w:rPr>
          <w:rFonts w:ascii="Garamond" w:hAnsi="Garamond"/>
        </w:rPr>
      </w:pPr>
      <w:r w:rsidRPr="006A2448">
        <w:rPr>
          <w:rFonts w:ascii="Garamond" w:hAnsi="Garamond"/>
        </w:rPr>
        <w:t>Universitas Islam Negeri Raden Fatah Palembang, Indonesia</w:t>
      </w:r>
    </w:p>
    <w:p w14:paraId="28E9AAD3" w14:textId="77777777" w:rsidR="00B57869" w:rsidRPr="006A2448" w:rsidRDefault="00B57869" w:rsidP="00B57869">
      <w:pPr>
        <w:spacing w:after="0" w:line="240" w:lineRule="auto"/>
        <w:jc w:val="center"/>
        <w:rPr>
          <w:rFonts w:ascii="Garamond" w:hAnsi="Garamond"/>
        </w:rPr>
      </w:pPr>
      <w:r w:rsidRPr="006A2448">
        <w:rPr>
          <w:rFonts w:ascii="Garamond" w:hAnsi="Garamond"/>
        </w:rPr>
        <w:t xml:space="preserve">Email: </w:t>
      </w:r>
      <w:hyperlink r:id="rId8" w:history="1">
        <w:r w:rsidRPr="006A2448">
          <w:rPr>
            <w:rStyle w:val="Hyperlink"/>
            <w:rFonts w:ascii="Garamond" w:hAnsi="Garamond"/>
            <w:color w:val="auto"/>
            <w:u w:val="none"/>
          </w:rPr>
          <w:t>kunbudianto_uin@radenfatah.ac.id</w:t>
        </w:r>
      </w:hyperlink>
      <w:r w:rsidRPr="006A2448">
        <w:rPr>
          <w:rFonts w:ascii="Garamond" w:hAnsi="Garamond"/>
        </w:rPr>
        <w:t xml:space="preserve"> </w:t>
      </w:r>
    </w:p>
    <w:p w14:paraId="274B358C" w14:textId="77777777" w:rsidR="00B57869" w:rsidRPr="006A2448" w:rsidRDefault="00B57869" w:rsidP="00B57869">
      <w:pPr>
        <w:spacing w:after="0" w:line="240" w:lineRule="auto"/>
        <w:jc w:val="center"/>
        <w:rPr>
          <w:rFonts w:ascii="Garamond" w:hAnsi="Garamond"/>
          <w:sz w:val="12"/>
          <w:szCs w:val="12"/>
          <w:vertAlign w:val="superscript"/>
        </w:rPr>
      </w:pPr>
    </w:p>
    <w:p w14:paraId="0928D7C6" w14:textId="77777777" w:rsidR="00B57869" w:rsidRPr="006A2448" w:rsidRDefault="00B57869" w:rsidP="00B57869">
      <w:pPr>
        <w:spacing w:after="0" w:line="240" w:lineRule="auto"/>
        <w:jc w:val="center"/>
        <w:rPr>
          <w:rFonts w:ascii="Garamond" w:hAnsi="Garamond"/>
          <w:sz w:val="12"/>
          <w:szCs w:val="12"/>
          <w:vertAlign w:val="superscript"/>
        </w:rPr>
      </w:pPr>
    </w:p>
    <w:p w14:paraId="0B520DFC" w14:textId="77777777" w:rsidR="00B57869" w:rsidRPr="006A2448" w:rsidRDefault="00B57869" w:rsidP="00B57869">
      <w:pPr>
        <w:spacing w:after="0" w:line="240" w:lineRule="auto"/>
        <w:jc w:val="center"/>
        <w:rPr>
          <w:rFonts w:ascii="Garamond" w:hAnsi="Garamond"/>
          <w:b/>
          <w:i/>
          <w:iCs/>
          <w:sz w:val="24"/>
          <w:szCs w:val="24"/>
        </w:rPr>
      </w:pPr>
      <w:proofErr w:type="spellStart"/>
      <w:r w:rsidRPr="006A2448">
        <w:rPr>
          <w:rFonts w:ascii="Garamond" w:hAnsi="Garamond"/>
          <w:b/>
          <w:bCs/>
          <w:i/>
          <w:iCs/>
          <w:sz w:val="24"/>
          <w:szCs w:val="24"/>
        </w:rPr>
        <w:t>Erniwati</w:t>
      </w:r>
      <w:proofErr w:type="spellEnd"/>
    </w:p>
    <w:p w14:paraId="65EF3305" w14:textId="77777777" w:rsidR="00B57869" w:rsidRPr="006A2448" w:rsidRDefault="00B57869" w:rsidP="00B57869">
      <w:pPr>
        <w:pStyle w:val="ListParagraph"/>
        <w:shd w:val="clear" w:color="auto" w:fill="FFFFFF"/>
        <w:tabs>
          <w:tab w:val="left" w:pos="709"/>
        </w:tabs>
        <w:spacing w:after="0" w:line="240" w:lineRule="auto"/>
        <w:ind w:left="0"/>
        <w:jc w:val="center"/>
        <w:rPr>
          <w:rFonts w:ascii="Garamond" w:hAnsi="Garamond"/>
        </w:rPr>
      </w:pPr>
      <w:r w:rsidRPr="006A2448">
        <w:rPr>
          <w:rFonts w:ascii="Garamond" w:hAnsi="Garamond"/>
        </w:rPr>
        <w:t>Universitas Islam Negeri Raden Fatah Palembang, Indonesia</w:t>
      </w:r>
    </w:p>
    <w:p w14:paraId="248522AE" w14:textId="77777777" w:rsidR="00B57869" w:rsidRPr="006A2448" w:rsidRDefault="00B57869" w:rsidP="00B57869">
      <w:pPr>
        <w:spacing w:afterLines="150" w:after="360" w:line="240" w:lineRule="auto"/>
        <w:jc w:val="center"/>
        <w:rPr>
          <w:rFonts w:ascii="Garamond" w:hAnsi="Garamond"/>
        </w:rPr>
      </w:pPr>
      <w:r w:rsidRPr="006A2448">
        <w:rPr>
          <w:rFonts w:ascii="Garamond" w:hAnsi="Garamond"/>
        </w:rPr>
        <w:t xml:space="preserve">Email: </w:t>
      </w:r>
      <w:hyperlink r:id="rId9" w:history="1">
        <w:r w:rsidRPr="006A2448">
          <w:rPr>
            <w:rStyle w:val="Hyperlink"/>
            <w:rFonts w:ascii="Garamond" w:hAnsi="Garamond"/>
            <w:color w:val="auto"/>
            <w:u w:val="none"/>
          </w:rPr>
          <w:t>erniwati_uin@radenfatah.ac.id</w:t>
        </w:r>
      </w:hyperlink>
      <w:r w:rsidRPr="006A2448">
        <w:rPr>
          <w:rFonts w:ascii="Garamond" w:hAnsi="Garamond"/>
        </w:rPr>
        <w:t xml:space="preserve"> </w:t>
      </w:r>
    </w:p>
    <w:p w14:paraId="22903B37" w14:textId="77777777" w:rsidR="00B57869" w:rsidRPr="006A2448" w:rsidRDefault="00B57869" w:rsidP="00B57869">
      <w:pPr>
        <w:spacing w:after="0" w:line="240" w:lineRule="auto"/>
        <w:jc w:val="center"/>
        <w:rPr>
          <w:rFonts w:ascii="Garamond" w:hAnsi="Garamond"/>
          <w:b/>
          <w:i/>
          <w:iCs/>
          <w:sz w:val="24"/>
          <w:szCs w:val="24"/>
        </w:rPr>
      </w:pPr>
      <w:r w:rsidRPr="006A2448">
        <w:rPr>
          <w:rFonts w:ascii="Garamond" w:hAnsi="Garamond"/>
          <w:b/>
          <w:bCs/>
          <w:i/>
          <w:iCs/>
          <w:sz w:val="24"/>
          <w:szCs w:val="24"/>
        </w:rPr>
        <w:t>Moh. Faizal</w:t>
      </w:r>
    </w:p>
    <w:p w14:paraId="123C63D5" w14:textId="77777777" w:rsidR="00B57869" w:rsidRPr="006A2448" w:rsidRDefault="00B57869" w:rsidP="00B57869">
      <w:pPr>
        <w:pStyle w:val="ListParagraph"/>
        <w:shd w:val="clear" w:color="auto" w:fill="FFFFFF"/>
        <w:tabs>
          <w:tab w:val="left" w:pos="709"/>
        </w:tabs>
        <w:spacing w:after="0" w:line="240" w:lineRule="auto"/>
        <w:ind w:left="0"/>
        <w:jc w:val="center"/>
        <w:rPr>
          <w:rFonts w:ascii="Garamond" w:hAnsi="Garamond"/>
        </w:rPr>
      </w:pPr>
      <w:proofErr w:type="spellStart"/>
      <w:r w:rsidRPr="006A2448">
        <w:rPr>
          <w:rFonts w:ascii="Garamond" w:hAnsi="Garamond"/>
        </w:rPr>
        <w:t>Sekolah</w:t>
      </w:r>
      <w:proofErr w:type="spellEnd"/>
      <w:r w:rsidRPr="006A2448">
        <w:rPr>
          <w:rFonts w:ascii="Garamond" w:hAnsi="Garamond"/>
        </w:rPr>
        <w:t xml:space="preserve"> Tinggi Ekonomi dan </w:t>
      </w:r>
      <w:proofErr w:type="spellStart"/>
      <w:r w:rsidRPr="006A2448">
        <w:rPr>
          <w:rFonts w:ascii="Garamond" w:hAnsi="Garamond"/>
        </w:rPr>
        <w:t>Bisnis</w:t>
      </w:r>
      <w:proofErr w:type="spellEnd"/>
      <w:r w:rsidRPr="006A2448">
        <w:rPr>
          <w:rFonts w:ascii="Garamond" w:hAnsi="Garamond"/>
        </w:rPr>
        <w:t xml:space="preserve"> Syariah Indo Global </w:t>
      </w:r>
      <w:proofErr w:type="spellStart"/>
      <w:r w:rsidRPr="006A2448">
        <w:rPr>
          <w:rFonts w:ascii="Garamond" w:hAnsi="Garamond"/>
        </w:rPr>
        <w:t>Mandiri</w:t>
      </w:r>
      <w:proofErr w:type="spellEnd"/>
      <w:r w:rsidRPr="006A2448">
        <w:rPr>
          <w:rFonts w:ascii="Garamond" w:hAnsi="Garamond"/>
        </w:rPr>
        <w:t>, Indonesia</w:t>
      </w:r>
    </w:p>
    <w:p w14:paraId="736BF95A" w14:textId="5CEEFEBD" w:rsidR="0084214D" w:rsidRPr="006A2448" w:rsidRDefault="00B57869" w:rsidP="00B57869">
      <w:pPr>
        <w:spacing w:afterLines="150" w:after="360" w:line="240" w:lineRule="auto"/>
        <w:jc w:val="center"/>
        <w:rPr>
          <w:rFonts w:ascii="Garamond" w:hAnsi="Garamond"/>
        </w:rPr>
      </w:pPr>
      <w:r w:rsidRPr="006A2448">
        <w:rPr>
          <w:rFonts w:ascii="Garamond" w:hAnsi="Garamond"/>
        </w:rPr>
        <w:t xml:space="preserve">Email: </w:t>
      </w:r>
      <w:hyperlink r:id="rId10" w:history="1">
        <w:r w:rsidRPr="006A2448">
          <w:rPr>
            <w:rStyle w:val="Hyperlink"/>
            <w:rFonts w:ascii="Garamond" w:hAnsi="Garamond"/>
            <w:color w:val="auto"/>
            <w:u w:val="none"/>
          </w:rPr>
          <w:t>izal@stebisigm.ac.id</w:t>
        </w:r>
      </w:hyperlink>
      <w:r w:rsidR="00BA14E2" w:rsidRPr="006A2448">
        <w:rPr>
          <w:rFonts w:ascii="Garamond" w:hAnsi="Garamond" w:cs="Times New Roman"/>
          <w:sz w:val="24"/>
          <w:szCs w:val="24"/>
        </w:rPr>
        <w:t xml:space="preserve"> </w:t>
      </w:r>
    </w:p>
    <w:tbl>
      <w:tblPr>
        <w:tblW w:w="8880" w:type="dxa"/>
        <w:tblLayout w:type="fixed"/>
        <w:tblLook w:val="0600" w:firstRow="0" w:lastRow="0" w:firstColumn="0" w:lastColumn="0" w:noHBand="1" w:noVBand="1"/>
      </w:tblPr>
      <w:tblGrid>
        <w:gridCol w:w="2056"/>
        <w:gridCol w:w="1662"/>
        <w:gridCol w:w="566"/>
        <w:gridCol w:w="1941"/>
        <w:gridCol w:w="427"/>
        <w:gridCol w:w="2072"/>
        <w:gridCol w:w="156"/>
      </w:tblGrid>
      <w:tr w:rsidR="006A2448" w:rsidRPr="006A2448" w14:paraId="7D5692F4" w14:textId="77777777" w:rsidTr="00F700CF">
        <w:trPr>
          <w:gridAfter w:val="1"/>
          <w:wAfter w:w="151" w:type="dxa"/>
          <w:trHeight w:val="285"/>
        </w:trPr>
        <w:tc>
          <w:tcPr>
            <w:tcW w:w="8880" w:type="dxa"/>
            <w:gridSpan w:val="6"/>
            <w:tcBorders>
              <w:top w:val="single" w:sz="8" w:space="0" w:color="000001"/>
              <w:bottom w:val="single" w:sz="8" w:space="0" w:color="000001"/>
            </w:tcBorders>
            <w:shd w:val="clear" w:color="auto" w:fill="FFFFFF"/>
            <w:tcMar>
              <w:top w:w="0" w:type="dxa"/>
              <w:left w:w="100" w:type="dxa"/>
              <w:bottom w:w="0" w:type="dxa"/>
              <w:right w:w="100" w:type="dxa"/>
            </w:tcMar>
          </w:tcPr>
          <w:p w14:paraId="1049E157" w14:textId="29254326" w:rsidR="00824719" w:rsidRPr="006A2448" w:rsidRDefault="00A817B0" w:rsidP="00F700CF">
            <w:pPr>
              <w:spacing w:after="0" w:line="240" w:lineRule="auto"/>
              <w:jc w:val="both"/>
              <w:rPr>
                <w:rFonts w:ascii="Garamond" w:hAnsi="Garamond" w:cs="Book Antiqua"/>
              </w:rPr>
            </w:pPr>
            <w:r w:rsidRPr="006A2448">
              <w:rPr>
                <w:rFonts w:ascii="Garamond" w:hAnsi="Garamond" w:cs="Book Antiqua"/>
              </w:rPr>
              <w:t xml:space="preserve">Corresponding email: </w:t>
            </w:r>
            <w:hyperlink r:id="rId11" w:history="1">
              <w:r w:rsidR="00177BE4" w:rsidRPr="006A2448">
                <w:rPr>
                  <w:rStyle w:val="Hyperlink"/>
                  <w:rFonts w:ascii="Garamond" w:hAnsi="Garamond"/>
                  <w:color w:val="auto"/>
                  <w:u w:val="none"/>
                </w:rPr>
                <w:t>bukhori_uin@radenfatah.ac.id</w:t>
              </w:r>
            </w:hyperlink>
          </w:p>
        </w:tc>
      </w:tr>
      <w:tr w:rsidR="006A2448" w:rsidRPr="006A2448" w14:paraId="79536EFF" w14:textId="77777777" w:rsidTr="00A817B0">
        <w:trPr>
          <w:gridAfter w:val="1"/>
          <w:wAfter w:w="151" w:type="dxa"/>
          <w:trHeight w:val="285"/>
        </w:trPr>
        <w:tc>
          <w:tcPr>
            <w:tcW w:w="3786" w:type="dxa"/>
            <w:gridSpan w:val="2"/>
            <w:tcBorders>
              <w:bottom w:val="single" w:sz="8" w:space="0" w:color="000001"/>
              <w:right w:val="single" w:sz="8" w:space="0" w:color="000001"/>
            </w:tcBorders>
            <w:shd w:val="clear" w:color="auto" w:fill="FFFFFF"/>
            <w:tcMar>
              <w:top w:w="0" w:type="dxa"/>
              <w:left w:w="100" w:type="dxa"/>
              <w:bottom w:w="0" w:type="dxa"/>
              <w:right w:w="100" w:type="dxa"/>
            </w:tcMar>
          </w:tcPr>
          <w:p w14:paraId="7D509E5C" w14:textId="1A2346C1" w:rsidR="00824719" w:rsidRPr="006A2448" w:rsidRDefault="00824719" w:rsidP="00F700CF">
            <w:pPr>
              <w:spacing w:after="0" w:line="240" w:lineRule="auto"/>
              <w:jc w:val="both"/>
              <w:rPr>
                <w:rFonts w:ascii="Garamond" w:hAnsi="Garamond" w:cs="Book Antiqua"/>
                <w:i/>
              </w:rPr>
            </w:pPr>
            <w:r w:rsidRPr="006A2448">
              <w:rPr>
                <w:rFonts w:ascii="Garamond" w:hAnsi="Garamond" w:cs="Book Antiqua"/>
                <w:i/>
              </w:rPr>
              <w:t xml:space="preserve">Received: </w:t>
            </w:r>
            <w:r w:rsidR="00335CCF" w:rsidRPr="006A2448">
              <w:rPr>
                <w:rFonts w:ascii="Garamond" w:hAnsi="Garamond" w:cs="Book Antiqua"/>
                <w:i/>
              </w:rPr>
              <w:t>Aug 6</w:t>
            </w:r>
            <w:r w:rsidRPr="006A2448">
              <w:rPr>
                <w:rFonts w:ascii="Garamond" w:hAnsi="Garamond" w:cs="Book Antiqua"/>
                <w:i/>
              </w:rPr>
              <w:t>, 20</w:t>
            </w:r>
            <w:r w:rsidR="00B244F6" w:rsidRPr="006A2448">
              <w:rPr>
                <w:rFonts w:ascii="Garamond" w:hAnsi="Garamond" w:cs="Book Antiqua"/>
                <w:i/>
              </w:rPr>
              <w:t>25</w:t>
            </w:r>
          </w:p>
        </w:tc>
        <w:tc>
          <w:tcPr>
            <w:tcW w:w="2551" w:type="dxa"/>
            <w:gridSpan w:val="2"/>
            <w:tcBorders>
              <w:bottom w:val="single" w:sz="8" w:space="0" w:color="000001"/>
              <w:right w:val="single" w:sz="8" w:space="0" w:color="000001"/>
            </w:tcBorders>
            <w:shd w:val="clear" w:color="auto" w:fill="FFFFFF"/>
            <w:tcMar>
              <w:top w:w="0" w:type="dxa"/>
              <w:left w:w="100" w:type="dxa"/>
              <w:bottom w:w="0" w:type="dxa"/>
              <w:right w:w="100" w:type="dxa"/>
            </w:tcMar>
          </w:tcPr>
          <w:p w14:paraId="18D83C37" w14:textId="21B4359C" w:rsidR="00824719" w:rsidRPr="006A2448" w:rsidRDefault="00824719" w:rsidP="00F700CF">
            <w:pPr>
              <w:spacing w:after="0" w:line="240" w:lineRule="auto"/>
              <w:jc w:val="both"/>
              <w:rPr>
                <w:rFonts w:ascii="Garamond" w:hAnsi="Garamond" w:cs="Book Antiqua"/>
                <w:i/>
              </w:rPr>
            </w:pPr>
            <w:r w:rsidRPr="006A2448">
              <w:rPr>
                <w:rFonts w:ascii="Garamond" w:hAnsi="Garamond" w:cs="Book Antiqua"/>
                <w:i/>
              </w:rPr>
              <w:t xml:space="preserve">Revised: </w:t>
            </w:r>
            <w:r w:rsidR="00335CCF" w:rsidRPr="006A2448">
              <w:rPr>
                <w:rFonts w:ascii="Garamond" w:hAnsi="Garamond" w:cs="Book Antiqua"/>
                <w:i/>
              </w:rPr>
              <w:t>Sep</w:t>
            </w:r>
            <w:r w:rsidR="00A817B0" w:rsidRPr="006A2448">
              <w:rPr>
                <w:rFonts w:ascii="Garamond" w:hAnsi="Garamond" w:cs="Book Antiqua"/>
                <w:i/>
              </w:rPr>
              <w:t xml:space="preserve"> </w:t>
            </w:r>
            <w:r w:rsidR="00335CCF" w:rsidRPr="006A2448">
              <w:rPr>
                <w:rFonts w:ascii="Garamond" w:hAnsi="Garamond" w:cs="Book Antiqua"/>
                <w:i/>
              </w:rPr>
              <w:t>3</w:t>
            </w:r>
            <w:r w:rsidR="00A817B0" w:rsidRPr="006A2448">
              <w:rPr>
                <w:rFonts w:ascii="Garamond" w:hAnsi="Garamond" w:cs="Book Antiqua"/>
                <w:i/>
              </w:rPr>
              <w:t>0</w:t>
            </w:r>
            <w:r w:rsidRPr="006A2448">
              <w:rPr>
                <w:rFonts w:ascii="Garamond" w:hAnsi="Garamond" w:cs="Book Antiqua"/>
                <w:i/>
              </w:rPr>
              <w:t>, 20</w:t>
            </w:r>
            <w:r w:rsidR="00335CCF" w:rsidRPr="006A2448">
              <w:rPr>
                <w:rFonts w:ascii="Garamond" w:hAnsi="Garamond" w:cs="Book Antiqua"/>
                <w:i/>
              </w:rPr>
              <w:t>25</w:t>
            </w:r>
          </w:p>
        </w:tc>
        <w:tc>
          <w:tcPr>
            <w:tcW w:w="2543" w:type="dxa"/>
            <w:gridSpan w:val="2"/>
            <w:tcBorders>
              <w:bottom w:val="single" w:sz="8" w:space="0" w:color="000001"/>
            </w:tcBorders>
            <w:shd w:val="clear" w:color="auto" w:fill="FFFFFF"/>
            <w:tcMar>
              <w:top w:w="0" w:type="dxa"/>
              <w:left w:w="100" w:type="dxa"/>
              <w:bottom w:w="0" w:type="dxa"/>
              <w:right w:w="100" w:type="dxa"/>
            </w:tcMar>
          </w:tcPr>
          <w:p w14:paraId="3A8AC925" w14:textId="31137FCD" w:rsidR="00824719" w:rsidRPr="006A2448" w:rsidRDefault="00824719" w:rsidP="00F700CF">
            <w:pPr>
              <w:spacing w:after="0" w:line="240" w:lineRule="auto"/>
              <w:jc w:val="both"/>
              <w:rPr>
                <w:rFonts w:ascii="Garamond" w:hAnsi="Garamond" w:cs="Book Antiqua"/>
                <w:i/>
              </w:rPr>
            </w:pPr>
            <w:r w:rsidRPr="006A2448">
              <w:rPr>
                <w:rFonts w:ascii="Garamond" w:hAnsi="Garamond" w:cs="Book Antiqua"/>
                <w:i/>
              </w:rPr>
              <w:t xml:space="preserve">Approved: </w:t>
            </w:r>
            <w:r w:rsidR="00335CCF" w:rsidRPr="006A2448">
              <w:rPr>
                <w:rFonts w:ascii="Garamond" w:hAnsi="Garamond" w:cs="Book Antiqua"/>
                <w:i/>
              </w:rPr>
              <w:t>Dec 03, 2025</w:t>
            </w:r>
          </w:p>
        </w:tc>
      </w:tr>
      <w:tr w:rsidR="006A2448" w:rsidRPr="006A2448" w14:paraId="4B0900F8" w14:textId="77777777">
        <w:tblPrEx>
          <w:jc w:val="center"/>
          <w:tblLook w:val="0000" w:firstRow="0" w:lastRow="0" w:firstColumn="0" w:lastColumn="0" w:noHBand="0" w:noVBand="0"/>
        </w:tblPrEx>
        <w:trPr>
          <w:trHeight w:val="146"/>
          <w:jc w:val="center"/>
        </w:trPr>
        <w:tc>
          <w:tcPr>
            <w:tcW w:w="2093" w:type="dxa"/>
            <w:tcBorders>
              <w:top w:val="nil"/>
              <w:left w:val="nil"/>
              <w:bottom w:val="nil"/>
              <w:right w:val="nil"/>
            </w:tcBorders>
          </w:tcPr>
          <w:p w14:paraId="10D635AF" w14:textId="77777777" w:rsidR="0084214D" w:rsidRPr="006A2448" w:rsidRDefault="0084214D">
            <w:pPr>
              <w:spacing w:afterLines="150" w:after="360" w:line="240" w:lineRule="auto"/>
              <w:jc w:val="center"/>
              <w:rPr>
                <w:rFonts w:ascii="Garamond" w:hAnsi="Garamond" w:cs="Times New Roman"/>
                <w:sz w:val="16"/>
                <w:szCs w:val="16"/>
                <w:lang w:val="id-ID"/>
              </w:rPr>
            </w:pPr>
          </w:p>
        </w:tc>
        <w:tc>
          <w:tcPr>
            <w:tcW w:w="2268" w:type="dxa"/>
            <w:gridSpan w:val="2"/>
            <w:tcBorders>
              <w:top w:val="nil"/>
              <w:left w:val="nil"/>
              <w:bottom w:val="nil"/>
              <w:right w:val="nil"/>
            </w:tcBorders>
          </w:tcPr>
          <w:p w14:paraId="04D63699" w14:textId="77777777" w:rsidR="0084214D" w:rsidRPr="006A2448" w:rsidRDefault="0084214D" w:rsidP="00824719">
            <w:pPr>
              <w:spacing w:afterLines="150" w:after="360" w:line="240" w:lineRule="auto"/>
              <w:rPr>
                <w:rFonts w:ascii="Garamond" w:hAnsi="Garamond" w:cs="Times New Roman"/>
                <w:sz w:val="16"/>
                <w:szCs w:val="16"/>
                <w:lang w:val="id-ID"/>
              </w:rPr>
            </w:pPr>
          </w:p>
        </w:tc>
        <w:tc>
          <w:tcPr>
            <w:tcW w:w="2410" w:type="dxa"/>
            <w:gridSpan w:val="2"/>
            <w:tcBorders>
              <w:top w:val="nil"/>
              <w:left w:val="nil"/>
              <w:bottom w:val="nil"/>
              <w:right w:val="nil"/>
            </w:tcBorders>
          </w:tcPr>
          <w:p w14:paraId="28F92BA7" w14:textId="77777777" w:rsidR="0084214D" w:rsidRPr="006A2448" w:rsidRDefault="0084214D">
            <w:pPr>
              <w:spacing w:afterLines="150" w:after="360" w:line="240" w:lineRule="auto"/>
              <w:jc w:val="center"/>
              <w:rPr>
                <w:rFonts w:ascii="Garamond" w:hAnsi="Garamond" w:cs="Times New Roman"/>
                <w:sz w:val="16"/>
                <w:szCs w:val="16"/>
                <w:lang w:val="id-ID"/>
              </w:rPr>
            </w:pPr>
          </w:p>
        </w:tc>
        <w:tc>
          <w:tcPr>
            <w:tcW w:w="2268" w:type="dxa"/>
            <w:gridSpan w:val="2"/>
            <w:tcBorders>
              <w:top w:val="nil"/>
              <w:left w:val="nil"/>
              <w:bottom w:val="nil"/>
              <w:right w:val="nil"/>
            </w:tcBorders>
          </w:tcPr>
          <w:p w14:paraId="7A0C759D" w14:textId="77777777" w:rsidR="0084214D" w:rsidRPr="006A2448" w:rsidRDefault="0084214D">
            <w:pPr>
              <w:spacing w:afterLines="150" w:after="360" w:line="240" w:lineRule="auto"/>
              <w:jc w:val="center"/>
              <w:rPr>
                <w:rFonts w:ascii="Garamond" w:hAnsi="Garamond" w:cs="Times New Roman"/>
                <w:sz w:val="16"/>
                <w:szCs w:val="16"/>
                <w:lang w:val="id-ID"/>
              </w:rPr>
            </w:pPr>
          </w:p>
        </w:tc>
      </w:tr>
    </w:tbl>
    <w:p w14:paraId="33770A87" w14:textId="77777777" w:rsidR="0084214D" w:rsidRPr="006A2448" w:rsidRDefault="0084214D" w:rsidP="00824719">
      <w:pPr>
        <w:snapToGrid w:val="0"/>
        <w:spacing w:after="0" w:line="240" w:lineRule="auto"/>
        <w:ind w:right="141"/>
        <w:rPr>
          <w:rFonts w:ascii="Garamond" w:hAnsi="Garamond" w:cs="Times New Roman"/>
          <w:b/>
        </w:rPr>
      </w:pPr>
      <w:r w:rsidRPr="006A2448">
        <w:rPr>
          <w:rFonts w:ascii="Garamond" w:hAnsi="Garamond" w:cs="Times New Roman"/>
          <w:b/>
        </w:rPr>
        <w:t>Abstract</w:t>
      </w:r>
    </w:p>
    <w:p w14:paraId="55089AF4" w14:textId="77777777" w:rsidR="006A6C13" w:rsidRPr="006A2448" w:rsidRDefault="006A6C13" w:rsidP="006A6C13">
      <w:pPr>
        <w:spacing w:after="0" w:line="259" w:lineRule="auto"/>
        <w:jc w:val="both"/>
        <w:rPr>
          <w:rFonts w:ascii="Garamond" w:hAnsi="Garamond" w:cstheme="majorBidi"/>
          <w:lang w:val="en-ID"/>
        </w:rPr>
      </w:pPr>
      <w:r w:rsidRPr="006A2448">
        <w:rPr>
          <w:rFonts w:ascii="Garamond" w:hAnsi="Garamond" w:cstheme="majorBidi"/>
          <w:lang w:val="en-ID"/>
        </w:rPr>
        <w:t xml:space="preserve">This study explores the role of religious institutions through fatwas in the formation of public policy in Indonesia, particularly major institutions such as the Indonesian Ulema Council (MUI), </w:t>
      </w:r>
      <w:proofErr w:type="spellStart"/>
      <w:r w:rsidRPr="006A2448">
        <w:rPr>
          <w:rFonts w:ascii="Garamond" w:hAnsi="Garamond" w:cstheme="majorBidi"/>
          <w:lang w:val="en-ID"/>
        </w:rPr>
        <w:t>Nahdlatul</w:t>
      </w:r>
      <w:proofErr w:type="spellEnd"/>
      <w:r w:rsidRPr="006A2448">
        <w:rPr>
          <w:rFonts w:ascii="Garamond" w:hAnsi="Garamond" w:cstheme="majorBidi"/>
          <w:lang w:val="en-ID"/>
        </w:rPr>
        <w:t xml:space="preserve"> Ulama (NU), and Muhammadiyah. The main objective is to understand how fatwas are produced by religious organizations and how they impact the political process and government policy. The research problem stems from the phenomenon that fatwas, although they do not have formal legal force, are often used as moral references by the community and are even considered by the government in formulating public policy. The research approach uses qualitative field studies: interviews with fatwa figures, analysis of fatwa documents, and observation of the interaction between religious institutions and public officials in several regions. The findings show that fatwas serve as moral and social legitimacy as well as non-formal influence on the formulation of public policy. Although not legally binding, the influence of fatwas on policy guidance is quite significant, especially on moral and social issues, as well as the creation of a space for dialogue between the state and society. The implications of the research results show the importance of understanding the role of fatwas not only as religious products but also as social political instruments in the architecture of public policy.</w:t>
      </w:r>
    </w:p>
    <w:p w14:paraId="1EB37CE8" w14:textId="37C636D5" w:rsidR="0084214D" w:rsidRPr="006A2448" w:rsidRDefault="0084214D" w:rsidP="00824719">
      <w:pPr>
        <w:snapToGrid w:val="0"/>
        <w:spacing w:after="0" w:line="240" w:lineRule="auto"/>
        <w:ind w:right="141"/>
        <w:jc w:val="both"/>
        <w:rPr>
          <w:rStyle w:val="ShortAbstract"/>
          <w:rFonts w:ascii="Garamond" w:eastAsia="MS Mincho" w:hAnsi="Garamond" w:cs="Times New Roman"/>
          <w:sz w:val="22"/>
        </w:rPr>
      </w:pPr>
    </w:p>
    <w:p w14:paraId="66CB992F" w14:textId="77777777" w:rsidR="0084214D" w:rsidRPr="006A2448" w:rsidRDefault="0084214D" w:rsidP="00824719">
      <w:pPr>
        <w:snapToGrid w:val="0"/>
        <w:spacing w:after="0" w:line="240" w:lineRule="auto"/>
        <w:ind w:right="141"/>
        <w:rPr>
          <w:rFonts w:ascii="Garamond" w:hAnsi="Garamond" w:cs="Times New Roman"/>
          <w:b/>
        </w:rPr>
      </w:pPr>
      <w:proofErr w:type="spellStart"/>
      <w:r w:rsidRPr="006A2448">
        <w:rPr>
          <w:rFonts w:ascii="Garamond" w:hAnsi="Garamond" w:cs="Times New Roman"/>
          <w:b/>
        </w:rPr>
        <w:t>Abstrak</w:t>
      </w:r>
      <w:proofErr w:type="spellEnd"/>
    </w:p>
    <w:p w14:paraId="748FA9A3" w14:textId="77777777" w:rsidR="006A6C13" w:rsidRPr="006A2448" w:rsidRDefault="006A6C13" w:rsidP="00347D63">
      <w:pPr>
        <w:snapToGrid w:val="0"/>
        <w:spacing w:after="0" w:line="240" w:lineRule="auto"/>
        <w:ind w:right="141"/>
        <w:jc w:val="both"/>
        <w:rPr>
          <w:rFonts w:ascii="Garamond" w:hAnsi="Garamond"/>
          <w:lang w:val="en-ID"/>
        </w:rPr>
      </w:pPr>
      <w:proofErr w:type="spellStart"/>
      <w:r w:rsidRPr="006A2448">
        <w:rPr>
          <w:rFonts w:ascii="Garamond" w:hAnsi="Garamond"/>
          <w:lang w:val="en-ID"/>
        </w:rPr>
        <w:t>Penelitian</w:t>
      </w:r>
      <w:proofErr w:type="spellEnd"/>
      <w:r w:rsidRPr="006A2448">
        <w:rPr>
          <w:rFonts w:ascii="Garamond" w:hAnsi="Garamond"/>
          <w:lang w:val="en-ID"/>
        </w:rPr>
        <w:t xml:space="preserve"> </w:t>
      </w:r>
      <w:proofErr w:type="spellStart"/>
      <w:r w:rsidRPr="006A2448">
        <w:rPr>
          <w:rFonts w:ascii="Garamond" w:hAnsi="Garamond"/>
          <w:lang w:val="en-ID"/>
        </w:rPr>
        <w:t>ini</w:t>
      </w:r>
      <w:proofErr w:type="spellEnd"/>
      <w:r w:rsidRPr="006A2448">
        <w:rPr>
          <w:rFonts w:ascii="Garamond" w:hAnsi="Garamond"/>
          <w:lang w:val="en-ID"/>
        </w:rPr>
        <w:t xml:space="preserve"> </w:t>
      </w:r>
      <w:proofErr w:type="spellStart"/>
      <w:r w:rsidRPr="006A2448">
        <w:rPr>
          <w:rFonts w:ascii="Garamond" w:hAnsi="Garamond"/>
          <w:lang w:val="en-ID"/>
        </w:rPr>
        <w:t>mengeksplorasi</w:t>
      </w:r>
      <w:proofErr w:type="spellEnd"/>
      <w:r w:rsidRPr="006A2448">
        <w:rPr>
          <w:rFonts w:ascii="Garamond" w:hAnsi="Garamond"/>
          <w:lang w:val="en-ID"/>
        </w:rPr>
        <w:t xml:space="preserve"> </w:t>
      </w:r>
      <w:proofErr w:type="spellStart"/>
      <w:r w:rsidRPr="006A2448">
        <w:rPr>
          <w:rFonts w:ascii="Garamond" w:hAnsi="Garamond"/>
          <w:lang w:val="en-ID"/>
        </w:rPr>
        <w:t>peran</w:t>
      </w:r>
      <w:proofErr w:type="spellEnd"/>
      <w:r w:rsidRPr="006A2448">
        <w:rPr>
          <w:rFonts w:ascii="Garamond" w:hAnsi="Garamond"/>
          <w:lang w:val="en-ID"/>
        </w:rPr>
        <w:t xml:space="preserve"> </w:t>
      </w:r>
      <w:proofErr w:type="spellStart"/>
      <w:r w:rsidRPr="006A2448">
        <w:rPr>
          <w:rFonts w:ascii="Garamond" w:hAnsi="Garamond"/>
          <w:lang w:val="en-ID"/>
        </w:rPr>
        <w:t>lembaga</w:t>
      </w:r>
      <w:proofErr w:type="spellEnd"/>
      <w:r w:rsidRPr="006A2448">
        <w:rPr>
          <w:rFonts w:ascii="Garamond" w:hAnsi="Garamond"/>
          <w:lang w:val="en-ID"/>
        </w:rPr>
        <w:t xml:space="preserve"> </w:t>
      </w:r>
      <w:proofErr w:type="spellStart"/>
      <w:r w:rsidRPr="006A2448">
        <w:rPr>
          <w:rFonts w:ascii="Garamond" w:hAnsi="Garamond"/>
          <w:lang w:val="en-ID"/>
        </w:rPr>
        <w:t>keagamaan</w:t>
      </w:r>
      <w:proofErr w:type="spellEnd"/>
      <w:r w:rsidRPr="006A2448">
        <w:rPr>
          <w:rFonts w:ascii="Garamond" w:hAnsi="Garamond"/>
          <w:lang w:val="en-ID"/>
        </w:rPr>
        <w:t xml:space="preserve"> </w:t>
      </w:r>
      <w:proofErr w:type="spellStart"/>
      <w:r w:rsidRPr="006A2448">
        <w:rPr>
          <w:rFonts w:ascii="Garamond" w:hAnsi="Garamond"/>
          <w:lang w:val="en-ID"/>
        </w:rPr>
        <w:t>melalui</w:t>
      </w:r>
      <w:proofErr w:type="spellEnd"/>
      <w:r w:rsidRPr="006A2448">
        <w:rPr>
          <w:rFonts w:ascii="Garamond" w:hAnsi="Garamond"/>
          <w:lang w:val="en-ID"/>
        </w:rPr>
        <w:t xml:space="preserve"> fatwa </w:t>
      </w:r>
      <w:proofErr w:type="spellStart"/>
      <w:r w:rsidRPr="006A2448">
        <w:rPr>
          <w:rFonts w:ascii="Garamond" w:hAnsi="Garamond"/>
          <w:lang w:val="en-ID"/>
        </w:rPr>
        <w:t>dalam</w:t>
      </w:r>
      <w:proofErr w:type="spellEnd"/>
      <w:r w:rsidRPr="006A2448">
        <w:rPr>
          <w:rFonts w:ascii="Garamond" w:hAnsi="Garamond"/>
          <w:lang w:val="en-ID"/>
        </w:rPr>
        <w:t xml:space="preserve"> </w:t>
      </w:r>
      <w:proofErr w:type="spellStart"/>
      <w:r w:rsidRPr="006A2448">
        <w:rPr>
          <w:rFonts w:ascii="Garamond" w:hAnsi="Garamond"/>
          <w:lang w:val="en-ID"/>
        </w:rPr>
        <w:t>pembentukan</w:t>
      </w:r>
      <w:proofErr w:type="spellEnd"/>
      <w:r w:rsidRPr="006A2448">
        <w:rPr>
          <w:rFonts w:ascii="Garamond" w:hAnsi="Garamond"/>
          <w:lang w:val="en-ID"/>
        </w:rPr>
        <w:t xml:space="preserve"> </w:t>
      </w:r>
      <w:proofErr w:type="spellStart"/>
      <w:r w:rsidRPr="006A2448">
        <w:rPr>
          <w:rFonts w:ascii="Garamond" w:hAnsi="Garamond"/>
          <w:lang w:val="en-ID"/>
        </w:rPr>
        <w:t>kebijakan</w:t>
      </w:r>
      <w:proofErr w:type="spellEnd"/>
      <w:r w:rsidRPr="006A2448">
        <w:rPr>
          <w:rFonts w:ascii="Garamond" w:hAnsi="Garamond"/>
          <w:lang w:val="en-ID"/>
        </w:rPr>
        <w:t xml:space="preserve"> </w:t>
      </w:r>
      <w:proofErr w:type="spellStart"/>
      <w:r w:rsidRPr="006A2448">
        <w:rPr>
          <w:rFonts w:ascii="Garamond" w:hAnsi="Garamond"/>
          <w:lang w:val="en-ID"/>
        </w:rPr>
        <w:t>publik</w:t>
      </w:r>
      <w:proofErr w:type="spellEnd"/>
      <w:r w:rsidRPr="006A2448">
        <w:rPr>
          <w:rFonts w:ascii="Garamond" w:hAnsi="Garamond"/>
          <w:lang w:val="en-ID"/>
        </w:rPr>
        <w:t xml:space="preserve"> di Indonesia, </w:t>
      </w:r>
      <w:proofErr w:type="spellStart"/>
      <w:r w:rsidRPr="006A2448">
        <w:rPr>
          <w:rFonts w:ascii="Garamond" w:hAnsi="Garamond"/>
          <w:lang w:val="en-ID"/>
        </w:rPr>
        <w:t>khususnya</w:t>
      </w:r>
      <w:proofErr w:type="spellEnd"/>
      <w:r w:rsidRPr="006A2448">
        <w:rPr>
          <w:rFonts w:ascii="Garamond" w:hAnsi="Garamond"/>
          <w:lang w:val="en-ID"/>
        </w:rPr>
        <w:t xml:space="preserve"> </w:t>
      </w:r>
      <w:proofErr w:type="spellStart"/>
      <w:r w:rsidRPr="006A2448">
        <w:rPr>
          <w:rFonts w:ascii="Garamond" w:hAnsi="Garamond"/>
          <w:lang w:val="en-ID"/>
        </w:rPr>
        <w:t>lembaga-lembaga</w:t>
      </w:r>
      <w:proofErr w:type="spellEnd"/>
      <w:r w:rsidRPr="006A2448">
        <w:rPr>
          <w:rFonts w:ascii="Garamond" w:hAnsi="Garamond"/>
          <w:lang w:val="en-ID"/>
        </w:rPr>
        <w:t xml:space="preserve"> </w:t>
      </w:r>
      <w:proofErr w:type="spellStart"/>
      <w:r w:rsidRPr="006A2448">
        <w:rPr>
          <w:rFonts w:ascii="Garamond" w:hAnsi="Garamond"/>
          <w:lang w:val="en-ID"/>
        </w:rPr>
        <w:t>utama</w:t>
      </w:r>
      <w:proofErr w:type="spellEnd"/>
      <w:r w:rsidRPr="006A2448">
        <w:rPr>
          <w:rFonts w:ascii="Garamond" w:hAnsi="Garamond"/>
          <w:lang w:val="en-ID"/>
        </w:rPr>
        <w:t xml:space="preserve"> </w:t>
      </w:r>
      <w:proofErr w:type="spellStart"/>
      <w:r w:rsidRPr="006A2448">
        <w:rPr>
          <w:rFonts w:ascii="Garamond" w:hAnsi="Garamond"/>
          <w:lang w:val="en-ID"/>
        </w:rPr>
        <w:t>seperti</w:t>
      </w:r>
      <w:proofErr w:type="spellEnd"/>
      <w:r w:rsidRPr="006A2448">
        <w:rPr>
          <w:rFonts w:ascii="Garamond" w:hAnsi="Garamond"/>
          <w:lang w:val="en-ID"/>
        </w:rPr>
        <w:t xml:space="preserve"> </w:t>
      </w:r>
      <w:proofErr w:type="spellStart"/>
      <w:r w:rsidRPr="006A2448">
        <w:rPr>
          <w:rFonts w:ascii="Garamond" w:hAnsi="Garamond"/>
          <w:lang w:val="en-ID"/>
        </w:rPr>
        <w:t>Majelis</w:t>
      </w:r>
      <w:proofErr w:type="spellEnd"/>
      <w:r w:rsidRPr="006A2448">
        <w:rPr>
          <w:rFonts w:ascii="Garamond" w:hAnsi="Garamond"/>
          <w:lang w:val="en-ID"/>
        </w:rPr>
        <w:t xml:space="preserve"> Ulama Indonesia (MUI), </w:t>
      </w:r>
      <w:proofErr w:type="spellStart"/>
      <w:r w:rsidRPr="006A2448">
        <w:rPr>
          <w:rFonts w:ascii="Garamond" w:hAnsi="Garamond"/>
          <w:lang w:val="en-ID"/>
        </w:rPr>
        <w:t>Nahdlatul</w:t>
      </w:r>
      <w:proofErr w:type="spellEnd"/>
      <w:r w:rsidRPr="006A2448">
        <w:rPr>
          <w:rFonts w:ascii="Garamond" w:hAnsi="Garamond"/>
          <w:lang w:val="en-ID"/>
        </w:rPr>
        <w:t xml:space="preserve"> Ulama (NU), dan Muhammadiyah. Tujuan </w:t>
      </w:r>
      <w:proofErr w:type="spellStart"/>
      <w:r w:rsidRPr="006A2448">
        <w:rPr>
          <w:rFonts w:ascii="Garamond" w:hAnsi="Garamond"/>
          <w:lang w:val="en-ID"/>
        </w:rPr>
        <w:t>utama</w:t>
      </w:r>
      <w:proofErr w:type="spellEnd"/>
      <w:r w:rsidRPr="006A2448">
        <w:rPr>
          <w:rFonts w:ascii="Garamond" w:hAnsi="Garamond"/>
          <w:lang w:val="en-ID"/>
        </w:rPr>
        <w:t xml:space="preserve"> </w:t>
      </w:r>
      <w:proofErr w:type="spellStart"/>
      <w:r w:rsidRPr="006A2448">
        <w:rPr>
          <w:rFonts w:ascii="Garamond" w:hAnsi="Garamond"/>
          <w:lang w:val="en-ID"/>
        </w:rPr>
        <w:t>adalah</w:t>
      </w:r>
      <w:proofErr w:type="spellEnd"/>
      <w:r w:rsidRPr="006A2448">
        <w:rPr>
          <w:rFonts w:ascii="Garamond" w:hAnsi="Garamond"/>
          <w:lang w:val="en-ID"/>
        </w:rPr>
        <w:t xml:space="preserve"> </w:t>
      </w:r>
      <w:proofErr w:type="spellStart"/>
      <w:r w:rsidRPr="006A2448">
        <w:rPr>
          <w:rFonts w:ascii="Garamond" w:hAnsi="Garamond"/>
          <w:lang w:val="en-ID"/>
        </w:rPr>
        <w:t>memahami</w:t>
      </w:r>
      <w:proofErr w:type="spellEnd"/>
      <w:r w:rsidRPr="006A2448">
        <w:rPr>
          <w:rFonts w:ascii="Garamond" w:hAnsi="Garamond"/>
          <w:lang w:val="en-ID"/>
        </w:rPr>
        <w:t xml:space="preserve"> </w:t>
      </w:r>
      <w:proofErr w:type="spellStart"/>
      <w:r w:rsidRPr="006A2448">
        <w:rPr>
          <w:rFonts w:ascii="Garamond" w:hAnsi="Garamond"/>
          <w:lang w:val="en-ID"/>
        </w:rPr>
        <w:t>bagaimana</w:t>
      </w:r>
      <w:proofErr w:type="spellEnd"/>
      <w:r w:rsidRPr="006A2448">
        <w:rPr>
          <w:rFonts w:ascii="Garamond" w:hAnsi="Garamond"/>
          <w:lang w:val="en-ID"/>
        </w:rPr>
        <w:t xml:space="preserve"> fatwa </w:t>
      </w:r>
      <w:proofErr w:type="spellStart"/>
      <w:r w:rsidRPr="006A2448">
        <w:rPr>
          <w:rFonts w:ascii="Garamond" w:hAnsi="Garamond"/>
          <w:lang w:val="en-ID"/>
        </w:rPr>
        <w:t>diproduksi</w:t>
      </w:r>
      <w:proofErr w:type="spellEnd"/>
      <w:r w:rsidRPr="006A2448">
        <w:rPr>
          <w:rFonts w:ascii="Garamond" w:hAnsi="Garamond"/>
          <w:lang w:val="en-ID"/>
        </w:rPr>
        <w:t xml:space="preserve"> oleh </w:t>
      </w:r>
      <w:proofErr w:type="spellStart"/>
      <w:r w:rsidRPr="006A2448">
        <w:rPr>
          <w:rFonts w:ascii="Garamond" w:hAnsi="Garamond"/>
          <w:lang w:val="en-ID"/>
        </w:rPr>
        <w:t>organisasi</w:t>
      </w:r>
      <w:proofErr w:type="spellEnd"/>
      <w:r w:rsidRPr="006A2448">
        <w:rPr>
          <w:rFonts w:ascii="Garamond" w:hAnsi="Garamond"/>
          <w:lang w:val="en-ID"/>
        </w:rPr>
        <w:t xml:space="preserve"> </w:t>
      </w:r>
      <w:proofErr w:type="spellStart"/>
      <w:r w:rsidRPr="006A2448">
        <w:rPr>
          <w:rFonts w:ascii="Garamond" w:hAnsi="Garamond"/>
          <w:lang w:val="en-ID"/>
        </w:rPr>
        <w:t>keagamaan</w:t>
      </w:r>
      <w:proofErr w:type="spellEnd"/>
      <w:r w:rsidRPr="006A2448">
        <w:rPr>
          <w:rFonts w:ascii="Garamond" w:hAnsi="Garamond"/>
          <w:lang w:val="en-ID"/>
        </w:rPr>
        <w:t xml:space="preserve"> dan </w:t>
      </w:r>
      <w:proofErr w:type="spellStart"/>
      <w:r w:rsidRPr="006A2448">
        <w:rPr>
          <w:rFonts w:ascii="Garamond" w:hAnsi="Garamond"/>
          <w:lang w:val="en-ID"/>
        </w:rPr>
        <w:t>bagaimana</w:t>
      </w:r>
      <w:proofErr w:type="spellEnd"/>
      <w:r w:rsidRPr="006A2448">
        <w:rPr>
          <w:rFonts w:ascii="Garamond" w:hAnsi="Garamond"/>
          <w:lang w:val="en-ID"/>
        </w:rPr>
        <w:t xml:space="preserve"> </w:t>
      </w:r>
      <w:proofErr w:type="spellStart"/>
      <w:r w:rsidRPr="006A2448">
        <w:rPr>
          <w:rFonts w:ascii="Garamond" w:hAnsi="Garamond"/>
          <w:lang w:val="en-ID"/>
        </w:rPr>
        <w:t>dampaknya</w:t>
      </w:r>
      <w:proofErr w:type="spellEnd"/>
      <w:r w:rsidRPr="006A2448">
        <w:rPr>
          <w:rFonts w:ascii="Garamond" w:hAnsi="Garamond"/>
          <w:lang w:val="en-ID"/>
        </w:rPr>
        <w:t xml:space="preserve"> </w:t>
      </w:r>
      <w:proofErr w:type="spellStart"/>
      <w:r w:rsidRPr="006A2448">
        <w:rPr>
          <w:rFonts w:ascii="Garamond" w:hAnsi="Garamond"/>
          <w:lang w:val="en-ID"/>
        </w:rPr>
        <w:t>terhadap</w:t>
      </w:r>
      <w:proofErr w:type="spellEnd"/>
      <w:r w:rsidRPr="006A2448">
        <w:rPr>
          <w:rFonts w:ascii="Garamond" w:hAnsi="Garamond"/>
          <w:lang w:val="en-ID"/>
        </w:rPr>
        <w:t xml:space="preserve"> proses </w:t>
      </w:r>
      <w:proofErr w:type="spellStart"/>
      <w:r w:rsidRPr="006A2448">
        <w:rPr>
          <w:rFonts w:ascii="Garamond" w:hAnsi="Garamond"/>
          <w:lang w:val="en-ID"/>
        </w:rPr>
        <w:t>politis</w:t>
      </w:r>
      <w:proofErr w:type="spellEnd"/>
      <w:r w:rsidRPr="006A2448">
        <w:rPr>
          <w:rFonts w:ascii="Garamond" w:hAnsi="Garamond"/>
          <w:lang w:val="en-ID"/>
        </w:rPr>
        <w:t xml:space="preserve"> dan </w:t>
      </w:r>
      <w:proofErr w:type="spellStart"/>
      <w:r w:rsidRPr="006A2448">
        <w:rPr>
          <w:rFonts w:ascii="Garamond" w:hAnsi="Garamond"/>
          <w:lang w:val="en-ID"/>
        </w:rPr>
        <w:t>kebijakan</w:t>
      </w:r>
      <w:proofErr w:type="spellEnd"/>
      <w:r w:rsidRPr="006A2448">
        <w:rPr>
          <w:rFonts w:ascii="Garamond" w:hAnsi="Garamond"/>
          <w:lang w:val="en-ID"/>
        </w:rPr>
        <w:t xml:space="preserve"> </w:t>
      </w:r>
      <w:proofErr w:type="spellStart"/>
      <w:r w:rsidRPr="006A2448">
        <w:rPr>
          <w:rFonts w:ascii="Garamond" w:hAnsi="Garamond"/>
          <w:lang w:val="en-ID"/>
        </w:rPr>
        <w:t>pemerintah</w:t>
      </w:r>
      <w:proofErr w:type="spellEnd"/>
      <w:r w:rsidRPr="006A2448">
        <w:rPr>
          <w:rFonts w:ascii="Garamond" w:hAnsi="Garamond"/>
          <w:lang w:val="en-ID"/>
        </w:rPr>
        <w:t xml:space="preserve">. </w:t>
      </w:r>
      <w:proofErr w:type="spellStart"/>
      <w:r w:rsidRPr="006A2448">
        <w:rPr>
          <w:rFonts w:ascii="Garamond" w:hAnsi="Garamond"/>
          <w:lang w:val="en-ID"/>
        </w:rPr>
        <w:t>Masalah</w:t>
      </w:r>
      <w:proofErr w:type="spellEnd"/>
      <w:r w:rsidRPr="006A2448">
        <w:rPr>
          <w:rFonts w:ascii="Garamond" w:hAnsi="Garamond"/>
          <w:lang w:val="en-ID"/>
        </w:rPr>
        <w:t xml:space="preserve"> </w:t>
      </w:r>
      <w:proofErr w:type="spellStart"/>
      <w:r w:rsidRPr="006A2448">
        <w:rPr>
          <w:rFonts w:ascii="Garamond" w:hAnsi="Garamond"/>
          <w:lang w:val="en-ID"/>
        </w:rPr>
        <w:t>penelitian</w:t>
      </w:r>
      <w:proofErr w:type="spellEnd"/>
      <w:r w:rsidRPr="006A2448">
        <w:rPr>
          <w:rFonts w:ascii="Garamond" w:hAnsi="Garamond"/>
          <w:lang w:val="en-ID"/>
        </w:rPr>
        <w:t xml:space="preserve"> </w:t>
      </w:r>
      <w:proofErr w:type="spellStart"/>
      <w:r w:rsidRPr="006A2448">
        <w:rPr>
          <w:rFonts w:ascii="Garamond" w:hAnsi="Garamond"/>
          <w:lang w:val="en-ID"/>
        </w:rPr>
        <w:t>berangkat</w:t>
      </w:r>
      <w:proofErr w:type="spellEnd"/>
      <w:r w:rsidRPr="006A2448">
        <w:rPr>
          <w:rFonts w:ascii="Garamond" w:hAnsi="Garamond"/>
          <w:lang w:val="en-ID"/>
        </w:rPr>
        <w:t xml:space="preserve"> </w:t>
      </w:r>
      <w:proofErr w:type="spellStart"/>
      <w:r w:rsidRPr="006A2448">
        <w:rPr>
          <w:rFonts w:ascii="Garamond" w:hAnsi="Garamond"/>
          <w:lang w:val="en-ID"/>
        </w:rPr>
        <w:t>dari</w:t>
      </w:r>
      <w:proofErr w:type="spellEnd"/>
      <w:r w:rsidRPr="006A2448">
        <w:rPr>
          <w:rFonts w:ascii="Garamond" w:hAnsi="Garamond"/>
          <w:lang w:val="en-ID"/>
        </w:rPr>
        <w:t xml:space="preserve"> </w:t>
      </w:r>
      <w:proofErr w:type="spellStart"/>
      <w:r w:rsidRPr="006A2448">
        <w:rPr>
          <w:rFonts w:ascii="Garamond" w:hAnsi="Garamond"/>
          <w:lang w:val="en-ID"/>
        </w:rPr>
        <w:t>fenomena</w:t>
      </w:r>
      <w:proofErr w:type="spellEnd"/>
      <w:r w:rsidRPr="006A2448">
        <w:rPr>
          <w:rFonts w:ascii="Garamond" w:hAnsi="Garamond"/>
          <w:lang w:val="en-ID"/>
        </w:rPr>
        <w:t xml:space="preserve"> </w:t>
      </w:r>
      <w:proofErr w:type="spellStart"/>
      <w:r w:rsidRPr="006A2448">
        <w:rPr>
          <w:rFonts w:ascii="Garamond" w:hAnsi="Garamond"/>
          <w:lang w:val="en-ID"/>
        </w:rPr>
        <w:t>bahwa</w:t>
      </w:r>
      <w:proofErr w:type="spellEnd"/>
      <w:r w:rsidRPr="006A2448">
        <w:rPr>
          <w:rFonts w:ascii="Garamond" w:hAnsi="Garamond"/>
          <w:lang w:val="en-ID"/>
        </w:rPr>
        <w:t xml:space="preserve"> fatwa, </w:t>
      </w:r>
      <w:proofErr w:type="spellStart"/>
      <w:r w:rsidRPr="006A2448">
        <w:rPr>
          <w:rFonts w:ascii="Garamond" w:hAnsi="Garamond"/>
          <w:lang w:val="en-ID"/>
        </w:rPr>
        <w:t>meskipun</w:t>
      </w:r>
      <w:proofErr w:type="spellEnd"/>
      <w:r w:rsidRPr="006A2448">
        <w:rPr>
          <w:rFonts w:ascii="Garamond" w:hAnsi="Garamond"/>
          <w:lang w:val="en-ID"/>
        </w:rPr>
        <w:t xml:space="preserve"> </w:t>
      </w:r>
      <w:proofErr w:type="spellStart"/>
      <w:r w:rsidRPr="006A2448">
        <w:rPr>
          <w:rFonts w:ascii="Garamond" w:hAnsi="Garamond"/>
          <w:lang w:val="en-ID"/>
        </w:rPr>
        <w:t>tidak</w:t>
      </w:r>
      <w:proofErr w:type="spellEnd"/>
      <w:r w:rsidRPr="006A2448">
        <w:rPr>
          <w:rFonts w:ascii="Garamond" w:hAnsi="Garamond"/>
          <w:lang w:val="en-ID"/>
        </w:rPr>
        <w:t xml:space="preserve"> </w:t>
      </w:r>
      <w:proofErr w:type="spellStart"/>
      <w:r w:rsidRPr="006A2448">
        <w:rPr>
          <w:rFonts w:ascii="Garamond" w:hAnsi="Garamond"/>
          <w:lang w:val="en-ID"/>
        </w:rPr>
        <w:t>memiliki</w:t>
      </w:r>
      <w:proofErr w:type="spellEnd"/>
      <w:r w:rsidRPr="006A2448">
        <w:rPr>
          <w:rFonts w:ascii="Garamond" w:hAnsi="Garamond"/>
          <w:lang w:val="en-ID"/>
        </w:rPr>
        <w:t xml:space="preserve"> </w:t>
      </w:r>
      <w:proofErr w:type="spellStart"/>
      <w:r w:rsidRPr="006A2448">
        <w:rPr>
          <w:rFonts w:ascii="Garamond" w:hAnsi="Garamond"/>
          <w:lang w:val="en-ID"/>
        </w:rPr>
        <w:t>kekuatan</w:t>
      </w:r>
      <w:proofErr w:type="spellEnd"/>
      <w:r w:rsidRPr="006A2448">
        <w:rPr>
          <w:rFonts w:ascii="Garamond" w:hAnsi="Garamond"/>
          <w:lang w:val="en-ID"/>
        </w:rPr>
        <w:t xml:space="preserve"> </w:t>
      </w:r>
      <w:proofErr w:type="spellStart"/>
      <w:r w:rsidRPr="006A2448">
        <w:rPr>
          <w:rFonts w:ascii="Garamond" w:hAnsi="Garamond"/>
          <w:lang w:val="en-ID"/>
        </w:rPr>
        <w:t>hukum</w:t>
      </w:r>
      <w:proofErr w:type="spellEnd"/>
      <w:r w:rsidRPr="006A2448">
        <w:rPr>
          <w:rFonts w:ascii="Garamond" w:hAnsi="Garamond"/>
          <w:lang w:val="en-ID"/>
        </w:rPr>
        <w:t xml:space="preserve"> formal, </w:t>
      </w:r>
      <w:proofErr w:type="spellStart"/>
      <w:r w:rsidRPr="006A2448">
        <w:rPr>
          <w:rFonts w:ascii="Garamond" w:hAnsi="Garamond"/>
          <w:lang w:val="en-ID"/>
        </w:rPr>
        <w:t>sering</w:t>
      </w:r>
      <w:proofErr w:type="spellEnd"/>
      <w:r w:rsidRPr="006A2448">
        <w:rPr>
          <w:rFonts w:ascii="Garamond" w:hAnsi="Garamond"/>
          <w:lang w:val="en-ID"/>
        </w:rPr>
        <w:t xml:space="preserve"> </w:t>
      </w:r>
      <w:proofErr w:type="spellStart"/>
      <w:r w:rsidRPr="006A2448">
        <w:rPr>
          <w:rFonts w:ascii="Garamond" w:hAnsi="Garamond"/>
          <w:lang w:val="en-ID"/>
        </w:rPr>
        <w:t>dijadikan</w:t>
      </w:r>
      <w:proofErr w:type="spellEnd"/>
      <w:r w:rsidRPr="006A2448">
        <w:rPr>
          <w:rFonts w:ascii="Garamond" w:hAnsi="Garamond"/>
          <w:lang w:val="en-ID"/>
        </w:rPr>
        <w:t xml:space="preserve"> </w:t>
      </w:r>
      <w:proofErr w:type="spellStart"/>
      <w:r w:rsidRPr="006A2448">
        <w:rPr>
          <w:rFonts w:ascii="Garamond" w:hAnsi="Garamond"/>
          <w:lang w:val="en-ID"/>
        </w:rPr>
        <w:t>rujukan</w:t>
      </w:r>
      <w:proofErr w:type="spellEnd"/>
      <w:r w:rsidRPr="006A2448">
        <w:rPr>
          <w:rFonts w:ascii="Garamond" w:hAnsi="Garamond"/>
          <w:lang w:val="en-ID"/>
        </w:rPr>
        <w:t xml:space="preserve"> moral oleh </w:t>
      </w:r>
      <w:proofErr w:type="spellStart"/>
      <w:r w:rsidRPr="006A2448">
        <w:rPr>
          <w:rFonts w:ascii="Garamond" w:hAnsi="Garamond"/>
          <w:lang w:val="en-ID"/>
        </w:rPr>
        <w:t>masyarakat</w:t>
      </w:r>
      <w:proofErr w:type="spellEnd"/>
      <w:r w:rsidRPr="006A2448">
        <w:rPr>
          <w:rFonts w:ascii="Garamond" w:hAnsi="Garamond"/>
          <w:lang w:val="en-ID"/>
        </w:rPr>
        <w:t xml:space="preserve"> dan </w:t>
      </w:r>
      <w:proofErr w:type="spellStart"/>
      <w:r w:rsidRPr="006A2448">
        <w:rPr>
          <w:rFonts w:ascii="Garamond" w:hAnsi="Garamond"/>
          <w:lang w:val="en-ID"/>
        </w:rPr>
        <w:t>bahkan</w:t>
      </w:r>
      <w:proofErr w:type="spellEnd"/>
      <w:r w:rsidRPr="006A2448">
        <w:rPr>
          <w:rFonts w:ascii="Garamond" w:hAnsi="Garamond"/>
          <w:lang w:val="en-ID"/>
        </w:rPr>
        <w:t xml:space="preserve"> </w:t>
      </w:r>
      <w:proofErr w:type="spellStart"/>
      <w:r w:rsidRPr="006A2448">
        <w:rPr>
          <w:rFonts w:ascii="Garamond" w:hAnsi="Garamond"/>
          <w:lang w:val="en-ID"/>
        </w:rPr>
        <w:t>dipertimbangkan</w:t>
      </w:r>
      <w:proofErr w:type="spellEnd"/>
      <w:r w:rsidRPr="006A2448">
        <w:rPr>
          <w:rFonts w:ascii="Garamond" w:hAnsi="Garamond"/>
          <w:lang w:val="en-ID"/>
        </w:rPr>
        <w:t xml:space="preserve"> </w:t>
      </w:r>
      <w:proofErr w:type="spellStart"/>
      <w:r w:rsidRPr="006A2448">
        <w:rPr>
          <w:rFonts w:ascii="Garamond" w:hAnsi="Garamond"/>
          <w:lang w:val="en-ID"/>
        </w:rPr>
        <w:t>pemerintah</w:t>
      </w:r>
      <w:proofErr w:type="spellEnd"/>
      <w:r w:rsidRPr="006A2448">
        <w:rPr>
          <w:rFonts w:ascii="Garamond" w:hAnsi="Garamond"/>
          <w:lang w:val="en-ID"/>
        </w:rPr>
        <w:t xml:space="preserve"> </w:t>
      </w:r>
      <w:proofErr w:type="spellStart"/>
      <w:r w:rsidRPr="006A2448">
        <w:rPr>
          <w:rFonts w:ascii="Garamond" w:hAnsi="Garamond"/>
          <w:lang w:val="en-ID"/>
        </w:rPr>
        <w:t>dalam</w:t>
      </w:r>
      <w:proofErr w:type="spellEnd"/>
      <w:r w:rsidRPr="006A2448">
        <w:rPr>
          <w:rFonts w:ascii="Garamond" w:hAnsi="Garamond"/>
          <w:lang w:val="en-ID"/>
        </w:rPr>
        <w:t xml:space="preserve"> </w:t>
      </w:r>
      <w:proofErr w:type="spellStart"/>
      <w:r w:rsidRPr="006A2448">
        <w:rPr>
          <w:rFonts w:ascii="Garamond" w:hAnsi="Garamond"/>
          <w:lang w:val="en-ID"/>
        </w:rPr>
        <w:t>merumuskan</w:t>
      </w:r>
      <w:proofErr w:type="spellEnd"/>
      <w:r w:rsidRPr="006A2448">
        <w:rPr>
          <w:rFonts w:ascii="Garamond" w:hAnsi="Garamond"/>
          <w:lang w:val="en-ID"/>
        </w:rPr>
        <w:t xml:space="preserve"> </w:t>
      </w:r>
      <w:proofErr w:type="spellStart"/>
      <w:r w:rsidRPr="006A2448">
        <w:rPr>
          <w:rFonts w:ascii="Garamond" w:hAnsi="Garamond"/>
          <w:lang w:val="en-ID"/>
        </w:rPr>
        <w:t>kebijakan</w:t>
      </w:r>
      <w:proofErr w:type="spellEnd"/>
      <w:r w:rsidRPr="006A2448">
        <w:rPr>
          <w:rFonts w:ascii="Garamond" w:hAnsi="Garamond"/>
          <w:lang w:val="en-ID"/>
        </w:rPr>
        <w:t xml:space="preserve"> </w:t>
      </w:r>
      <w:proofErr w:type="spellStart"/>
      <w:r w:rsidRPr="006A2448">
        <w:rPr>
          <w:rFonts w:ascii="Garamond" w:hAnsi="Garamond"/>
          <w:lang w:val="en-ID"/>
        </w:rPr>
        <w:t>publik</w:t>
      </w:r>
      <w:proofErr w:type="spellEnd"/>
      <w:r w:rsidRPr="006A2448">
        <w:rPr>
          <w:rFonts w:ascii="Garamond" w:hAnsi="Garamond"/>
          <w:lang w:val="en-ID"/>
        </w:rPr>
        <w:t xml:space="preserve">. </w:t>
      </w:r>
      <w:proofErr w:type="spellStart"/>
      <w:r w:rsidRPr="006A2448">
        <w:rPr>
          <w:rFonts w:ascii="Garamond" w:hAnsi="Garamond"/>
          <w:lang w:val="en-ID"/>
        </w:rPr>
        <w:t>Pendekatan</w:t>
      </w:r>
      <w:proofErr w:type="spellEnd"/>
      <w:r w:rsidRPr="006A2448">
        <w:rPr>
          <w:rFonts w:ascii="Garamond" w:hAnsi="Garamond"/>
          <w:lang w:val="en-ID"/>
        </w:rPr>
        <w:t xml:space="preserve"> </w:t>
      </w:r>
      <w:proofErr w:type="spellStart"/>
      <w:r w:rsidRPr="006A2448">
        <w:rPr>
          <w:rFonts w:ascii="Garamond" w:hAnsi="Garamond"/>
          <w:lang w:val="en-ID"/>
        </w:rPr>
        <w:t>penelitian</w:t>
      </w:r>
      <w:proofErr w:type="spellEnd"/>
      <w:r w:rsidRPr="006A2448">
        <w:rPr>
          <w:rFonts w:ascii="Garamond" w:hAnsi="Garamond"/>
          <w:lang w:val="en-ID"/>
        </w:rPr>
        <w:t xml:space="preserve"> </w:t>
      </w:r>
      <w:proofErr w:type="spellStart"/>
      <w:r w:rsidRPr="006A2448">
        <w:rPr>
          <w:rFonts w:ascii="Garamond" w:hAnsi="Garamond"/>
          <w:lang w:val="en-ID"/>
        </w:rPr>
        <w:t>menggunakan</w:t>
      </w:r>
      <w:proofErr w:type="spellEnd"/>
      <w:r w:rsidRPr="006A2448">
        <w:rPr>
          <w:rFonts w:ascii="Garamond" w:hAnsi="Garamond"/>
          <w:lang w:val="en-ID"/>
        </w:rPr>
        <w:t xml:space="preserve"> </w:t>
      </w:r>
      <w:proofErr w:type="spellStart"/>
      <w:r w:rsidRPr="006A2448">
        <w:rPr>
          <w:rFonts w:ascii="Garamond" w:hAnsi="Garamond"/>
          <w:lang w:val="en-ID"/>
        </w:rPr>
        <w:t>studi</w:t>
      </w:r>
      <w:proofErr w:type="spellEnd"/>
      <w:r w:rsidRPr="006A2448">
        <w:rPr>
          <w:rFonts w:ascii="Garamond" w:hAnsi="Garamond"/>
          <w:lang w:val="en-ID"/>
        </w:rPr>
        <w:t xml:space="preserve"> </w:t>
      </w:r>
      <w:proofErr w:type="spellStart"/>
      <w:r w:rsidRPr="006A2448">
        <w:rPr>
          <w:rFonts w:ascii="Garamond" w:hAnsi="Garamond"/>
          <w:lang w:val="en-ID"/>
        </w:rPr>
        <w:t>lapangan</w:t>
      </w:r>
      <w:proofErr w:type="spellEnd"/>
      <w:r w:rsidRPr="006A2448">
        <w:rPr>
          <w:rFonts w:ascii="Garamond" w:hAnsi="Garamond"/>
          <w:lang w:val="en-ID"/>
        </w:rPr>
        <w:t xml:space="preserve"> </w:t>
      </w:r>
      <w:proofErr w:type="spellStart"/>
      <w:r w:rsidRPr="006A2448">
        <w:rPr>
          <w:rFonts w:ascii="Garamond" w:hAnsi="Garamond"/>
          <w:lang w:val="en-ID"/>
        </w:rPr>
        <w:t>kualitatif</w:t>
      </w:r>
      <w:proofErr w:type="spellEnd"/>
      <w:r w:rsidRPr="006A2448">
        <w:rPr>
          <w:rFonts w:ascii="Garamond" w:hAnsi="Garamond"/>
          <w:lang w:val="en-ID"/>
        </w:rPr>
        <w:t xml:space="preserve">: </w:t>
      </w:r>
      <w:proofErr w:type="spellStart"/>
      <w:r w:rsidRPr="006A2448">
        <w:rPr>
          <w:rFonts w:ascii="Garamond" w:hAnsi="Garamond"/>
          <w:lang w:val="en-ID"/>
        </w:rPr>
        <w:t>wawancara</w:t>
      </w:r>
      <w:proofErr w:type="spellEnd"/>
      <w:r w:rsidRPr="006A2448">
        <w:rPr>
          <w:rFonts w:ascii="Garamond" w:hAnsi="Garamond"/>
          <w:lang w:val="en-ID"/>
        </w:rPr>
        <w:t xml:space="preserve"> </w:t>
      </w:r>
      <w:proofErr w:type="spellStart"/>
      <w:r w:rsidRPr="006A2448">
        <w:rPr>
          <w:rFonts w:ascii="Garamond" w:hAnsi="Garamond"/>
          <w:lang w:val="en-ID"/>
        </w:rPr>
        <w:t>dengan</w:t>
      </w:r>
      <w:proofErr w:type="spellEnd"/>
      <w:r w:rsidRPr="006A2448">
        <w:rPr>
          <w:rFonts w:ascii="Garamond" w:hAnsi="Garamond"/>
          <w:lang w:val="en-ID"/>
        </w:rPr>
        <w:t xml:space="preserve"> </w:t>
      </w:r>
      <w:proofErr w:type="spellStart"/>
      <w:r w:rsidRPr="006A2448">
        <w:rPr>
          <w:rFonts w:ascii="Garamond" w:hAnsi="Garamond"/>
          <w:lang w:val="en-ID"/>
        </w:rPr>
        <w:t>tokoh</w:t>
      </w:r>
      <w:proofErr w:type="spellEnd"/>
      <w:r w:rsidRPr="006A2448">
        <w:rPr>
          <w:rFonts w:ascii="Garamond" w:hAnsi="Garamond"/>
          <w:lang w:val="en-ID"/>
        </w:rPr>
        <w:t xml:space="preserve"> fatwa, </w:t>
      </w:r>
      <w:proofErr w:type="spellStart"/>
      <w:r w:rsidRPr="006A2448">
        <w:rPr>
          <w:rFonts w:ascii="Garamond" w:hAnsi="Garamond"/>
          <w:lang w:val="en-ID"/>
        </w:rPr>
        <w:t>analisis</w:t>
      </w:r>
      <w:proofErr w:type="spellEnd"/>
      <w:r w:rsidRPr="006A2448">
        <w:rPr>
          <w:rFonts w:ascii="Garamond" w:hAnsi="Garamond"/>
          <w:lang w:val="en-ID"/>
        </w:rPr>
        <w:t xml:space="preserve"> </w:t>
      </w:r>
      <w:proofErr w:type="spellStart"/>
      <w:r w:rsidRPr="006A2448">
        <w:rPr>
          <w:rFonts w:ascii="Garamond" w:hAnsi="Garamond"/>
          <w:lang w:val="en-ID"/>
        </w:rPr>
        <w:t>dokumen</w:t>
      </w:r>
      <w:proofErr w:type="spellEnd"/>
      <w:r w:rsidRPr="006A2448">
        <w:rPr>
          <w:rFonts w:ascii="Garamond" w:hAnsi="Garamond"/>
          <w:lang w:val="en-ID"/>
        </w:rPr>
        <w:t xml:space="preserve"> fatwa, dan </w:t>
      </w:r>
      <w:proofErr w:type="spellStart"/>
      <w:r w:rsidRPr="006A2448">
        <w:rPr>
          <w:rFonts w:ascii="Garamond" w:hAnsi="Garamond"/>
          <w:lang w:val="en-ID"/>
        </w:rPr>
        <w:t>observasi</w:t>
      </w:r>
      <w:proofErr w:type="spellEnd"/>
      <w:r w:rsidRPr="006A2448">
        <w:rPr>
          <w:rFonts w:ascii="Garamond" w:hAnsi="Garamond"/>
          <w:lang w:val="en-ID"/>
        </w:rPr>
        <w:t xml:space="preserve"> </w:t>
      </w:r>
      <w:proofErr w:type="spellStart"/>
      <w:r w:rsidRPr="006A2448">
        <w:rPr>
          <w:rFonts w:ascii="Garamond" w:hAnsi="Garamond"/>
          <w:lang w:val="en-ID"/>
        </w:rPr>
        <w:t>interaksi</w:t>
      </w:r>
      <w:proofErr w:type="spellEnd"/>
      <w:r w:rsidRPr="006A2448">
        <w:rPr>
          <w:rFonts w:ascii="Garamond" w:hAnsi="Garamond"/>
          <w:lang w:val="en-ID"/>
        </w:rPr>
        <w:t xml:space="preserve"> </w:t>
      </w:r>
      <w:proofErr w:type="spellStart"/>
      <w:r w:rsidRPr="006A2448">
        <w:rPr>
          <w:rFonts w:ascii="Garamond" w:hAnsi="Garamond"/>
          <w:lang w:val="en-ID"/>
        </w:rPr>
        <w:t>lembaga</w:t>
      </w:r>
      <w:proofErr w:type="spellEnd"/>
      <w:r w:rsidRPr="006A2448">
        <w:rPr>
          <w:rFonts w:ascii="Garamond" w:hAnsi="Garamond"/>
          <w:lang w:val="en-ID"/>
        </w:rPr>
        <w:t xml:space="preserve"> </w:t>
      </w:r>
      <w:proofErr w:type="spellStart"/>
      <w:r w:rsidRPr="006A2448">
        <w:rPr>
          <w:rFonts w:ascii="Garamond" w:hAnsi="Garamond"/>
          <w:lang w:val="en-ID"/>
        </w:rPr>
        <w:t>keagamaan</w:t>
      </w:r>
      <w:proofErr w:type="spellEnd"/>
      <w:r w:rsidRPr="006A2448">
        <w:rPr>
          <w:rFonts w:ascii="Garamond" w:hAnsi="Garamond"/>
          <w:lang w:val="en-ID"/>
        </w:rPr>
        <w:t xml:space="preserve"> </w:t>
      </w:r>
      <w:proofErr w:type="spellStart"/>
      <w:r w:rsidRPr="006A2448">
        <w:rPr>
          <w:rFonts w:ascii="Garamond" w:hAnsi="Garamond"/>
          <w:lang w:val="en-ID"/>
        </w:rPr>
        <w:t>dengan</w:t>
      </w:r>
      <w:proofErr w:type="spellEnd"/>
      <w:r w:rsidRPr="006A2448">
        <w:rPr>
          <w:rFonts w:ascii="Garamond" w:hAnsi="Garamond"/>
          <w:lang w:val="en-ID"/>
        </w:rPr>
        <w:t xml:space="preserve"> </w:t>
      </w:r>
      <w:proofErr w:type="spellStart"/>
      <w:r w:rsidRPr="006A2448">
        <w:rPr>
          <w:rFonts w:ascii="Garamond" w:hAnsi="Garamond"/>
          <w:lang w:val="en-ID"/>
        </w:rPr>
        <w:t>pejabat</w:t>
      </w:r>
      <w:proofErr w:type="spellEnd"/>
      <w:r w:rsidRPr="006A2448">
        <w:rPr>
          <w:rFonts w:ascii="Garamond" w:hAnsi="Garamond"/>
          <w:lang w:val="en-ID"/>
        </w:rPr>
        <w:t xml:space="preserve"> </w:t>
      </w:r>
      <w:proofErr w:type="spellStart"/>
      <w:r w:rsidRPr="006A2448">
        <w:rPr>
          <w:rFonts w:ascii="Garamond" w:hAnsi="Garamond"/>
          <w:lang w:val="en-ID"/>
        </w:rPr>
        <w:t>publik</w:t>
      </w:r>
      <w:proofErr w:type="spellEnd"/>
      <w:r w:rsidRPr="006A2448">
        <w:rPr>
          <w:rFonts w:ascii="Garamond" w:hAnsi="Garamond"/>
          <w:lang w:val="en-ID"/>
        </w:rPr>
        <w:t xml:space="preserve"> di </w:t>
      </w:r>
      <w:proofErr w:type="spellStart"/>
      <w:r w:rsidRPr="006A2448">
        <w:rPr>
          <w:rFonts w:ascii="Garamond" w:hAnsi="Garamond"/>
          <w:lang w:val="en-ID"/>
        </w:rPr>
        <w:t>beberapa</w:t>
      </w:r>
      <w:proofErr w:type="spellEnd"/>
      <w:r w:rsidRPr="006A2448">
        <w:rPr>
          <w:rFonts w:ascii="Garamond" w:hAnsi="Garamond"/>
          <w:lang w:val="en-ID"/>
        </w:rPr>
        <w:t xml:space="preserve"> </w:t>
      </w:r>
      <w:proofErr w:type="spellStart"/>
      <w:r w:rsidRPr="006A2448">
        <w:rPr>
          <w:rFonts w:ascii="Garamond" w:hAnsi="Garamond"/>
          <w:lang w:val="en-ID"/>
        </w:rPr>
        <w:t>daerah</w:t>
      </w:r>
      <w:proofErr w:type="spellEnd"/>
      <w:r w:rsidRPr="006A2448">
        <w:rPr>
          <w:rFonts w:ascii="Garamond" w:hAnsi="Garamond"/>
          <w:lang w:val="en-ID"/>
        </w:rPr>
        <w:t xml:space="preserve">. </w:t>
      </w:r>
      <w:proofErr w:type="spellStart"/>
      <w:r w:rsidRPr="006A2448">
        <w:rPr>
          <w:rFonts w:ascii="Garamond" w:hAnsi="Garamond"/>
          <w:lang w:val="en-ID"/>
        </w:rPr>
        <w:t>Temuan</w:t>
      </w:r>
      <w:proofErr w:type="spellEnd"/>
      <w:r w:rsidRPr="006A2448">
        <w:rPr>
          <w:rFonts w:ascii="Garamond" w:hAnsi="Garamond"/>
          <w:lang w:val="en-ID"/>
        </w:rPr>
        <w:t xml:space="preserve"> </w:t>
      </w:r>
      <w:proofErr w:type="spellStart"/>
      <w:r w:rsidRPr="006A2448">
        <w:rPr>
          <w:rFonts w:ascii="Garamond" w:hAnsi="Garamond"/>
          <w:lang w:val="en-ID"/>
        </w:rPr>
        <w:t>menunjukkan</w:t>
      </w:r>
      <w:proofErr w:type="spellEnd"/>
      <w:r w:rsidRPr="006A2448">
        <w:rPr>
          <w:rFonts w:ascii="Garamond" w:hAnsi="Garamond"/>
          <w:lang w:val="en-ID"/>
        </w:rPr>
        <w:t xml:space="preserve"> </w:t>
      </w:r>
      <w:proofErr w:type="spellStart"/>
      <w:r w:rsidRPr="006A2448">
        <w:rPr>
          <w:rFonts w:ascii="Garamond" w:hAnsi="Garamond"/>
          <w:lang w:val="en-ID"/>
        </w:rPr>
        <w:t>bahwa</w:t>
      </w:r>
      <w:proofErr w:type="spellEnd"/>
      <w:r w:rsidRPr="006A2448">
        <w:rPr>
          <w:rFonts w:ascii="Garamond" w:hAnsi="Garamond"/>
          <w:lang w:val="en-ID"/>
        </w:rPr>
        <w:t xml:space="preserve"> fatwa </w:t>
      </w:r>
      <w:proofErr w:type="spellStart"/>
      <w:r w:rsidRPr="006A2448">
        <w:rPr>
          <w:rFonts w:ascii="Garamond" w:hAnsi="Garamond"/>
          <w:lang w:val="en-ID"/>
        </w:rPr>
        <w:t>berfungsi</w:t>
      </w:r>
      <w:proofErr w:type="spellEnd"/>
      <w:r w:rsidRPr="006A2448">
        <w:rPr>
          <w:rFonts w:ascii="Garamond" w:hAnsi="Garamond"/>
          <w:lang w:val="en-ID"/>
        </w:rPr>
        <w:t xml:space="preserve"> </w:t>
      </w:r>
      <w:proofErr w:type="spellStart"/>
      <w:r w:rsidRPr="006A2448">
        <w:rPr>
          <w:rFonts w:ascii="Garamond" w:hAnsi="Garamond"/>
          <w:lang w:val="en-ID"/>
        </w:rPr>
        <w:t>sebagai</w:t>
      </w:r>
      <w:proofErr w:type="spellEnd"/>
      <w:r w:rsidRPr="006A2448">
        <w:rPr>
          <w:rFonts w:ascii="Garamond" w:hAnsi="Garamond"/>
          <w:lang w:val="en-ID"/>
        </w:rPr>
        <w:t xml:space="preserve"> </w:t>
      </w:r>
      <w:proofErr w:type="spellStart"/>
      <w:r w:rsidRPr="006A2448">
        <w:rPr>
          <w:rFonts w:ascii="Garamond" w:hAnsi="Garamond"/>
          <w:lang w:val="en-ID"/>
        </w:rPr>
        <w:t>legitimasi</w:t>
      </w:r>
      <w:proofErr w:type="spellEnd"/>
      <w:r w:rsidRPr="006A2448">
        <w:rPr>
          <w:rFonts w:ascii="Garamond" w:hAnsi="Garamond"/>
          <w:lang w:val="en-ID"/>
        </w:rPr>
        <w:t xml:space="preserve"> moral dan </w:t>
      </w:r>
      <w:proofErr w:type="spellStart"/>
      <w:r w:rsidRPr="006A2448">
        <w:rPr>
          <w:rFonts w:ascii="Garamond" w:hAnsi="Garamond"/>
          <w:lang w:val="en-ID"/>
        </w:rPr>
        <w:t>sosial</w:t>
      </w:r>
      <w:proofErr w:type="spellEnd"/>
      <w:r w:rsidRPr="006A2448">
        <w:rPr>
          <w:rFonts w:ascii="Garamond" w:hAnsi="Garamond"/>
          <w:lang w:val="en-ID"/>
        </w:rPr>
        <w:t xml:space="preserve"> </w:t>
      </w:r>
      <w:proofErr w:type="spellStart"/>
      <w:r w:rsidRPr="006A2448">
        <w:rPr>
          <w:rFonts w:ascii="Garamond" w:hAnsi="Garamond"/>
          <w:lang w:val="en-ID"/>
        </w:rPr>
        <w:t>sekaligus</w:t>
      </w:r>
      <w:proofErr w:type="spellEnd"/>
      <w:r w:rsidRPr="006A2448">
        <w:rPr>
          <w:rFonts w:ascii="Garamond" w:hAnsi="Garamond"/>
          <w:lang w:val="en-ID"/>
        </w:rPr>
        <w:t xml:space="preserve"> </w:t>
      </w:r>
      <w:proofErr w:type="spellStart"/>
      <w:r w:rsidRPr="006A2448">
        <w:rPr>
          <w:rFonts w:ascii="Garamond" w:hAnsi="Garamond"/>
          <w:lang w:val="en-ID"/>
        </w:rPr>
        <w:t>pengaruh</w:t>
      </w:r>
      <w:proofErr w:type="spellEnd"/>
      <w:r w:rsidRPr="006A2448">
        <w:rPr>
          <w:rFonts w:ascii="Garamond" w:hAnsi="Garamond"/>
          <w:lang w:val="en-ID"/>
        </w:rPr>
        <w:t xml:space="preserve"> nonformal </w:t>
      </w:r>
      <w:proofErr w:type="spellStart"/>
      <w:r w:rsidRPr="006A2448">
        <w:rPr>
          <w:rFonts w:ascii="Garamond" w:hAnsi="Garamond"/>
          <w:lang w:val="en-ID"/>
        </w:rPr>
        <w:t>terhadap</w:t>
      </w:r>
      <w:proofErr w:type="spellEnd"/>
      <w:r w:rsidRPr="006A2448">
        <w:rPr>
          <w:rFonts w:ascii="Garamond" w:hAnsi="Garamond"/>
          <w:lang w:val="en-ID"/>
        </w:rPr>
        <w:t xml:space="preserve"> </w:t>
      </w:r>
      <w:proofErr w:type="spellStart"/>
      <w:r w:rsidRPr="006A2448">
        <w:rPr>
          <w:rFonts w:ascii="Garamond" w:hAnsi="Garamond"/>
          <w:lang w:val="en-ID"/>
        </w:rPr>
        <w:t>perumusan</w:t>
      </w:r>
      <w:proofErr w:type="spellEnd"/>
      <w:r w:rsidRPr="006A2448">
        <w:rPr>
          <w:rFonts w:ascii="Garamond" w:hAnsi="Garamond"/>
          <w:lang w:val="en-ID"/>
        </w:rPr>
        <w:t xml:space="preserve"> </w:t>
      </w:r>
      <w:proofErr w:type="spellStart"/>
      <w:r w:rsidRPr="006A2448">
        <w:rPr>
          <w:rFonts w:ascii="Garamond" w:hAnsi="Garamond"/>
          <w:lang w:val="en-ID"/>
        </w:rPr>
        <w:t>kebijakan</w:t>
      </w:r>
      <w:proofErr w:type="spellEnd"/>
      <w:r w:rsidRPr="006A2448">
        <w:rPr>
          <w:rFonts w:ascii="Garamond" w:hAnsi="Garamond"/>
          <w:lang w:val="en-ID"/>
        </w:rPr>
        <w:t xml:space="preserve"> </w:t>
      </w:r>
      <w:proofErr w:type="spellStart"/>
      <w:r w:rsidRPr="006A2448">
        <w:rPr>
          <w:rFonts w:ascii="Garamond" w:hAnsi="Garamond"/>
          <w:lang w:val="en-ID"/>
        </w:rPr>
        <w:t>publik</w:t>
      </w:r>
      <w:proofErr w:type="spellEnd"/>
      <w:r w:rsidRPr="006A2448">
        <w:rPr>
          <w:rFonts w:ascii="Garamond" w:hAnsi="Garamond"/>
          <w:lang w:val="en-ID"/>
        </w:rPr>
        <w:t xml:space="preserve">. </w:t>
      </w:r>
      <w:proofErr w:type="spellStart"/>
      <w:r w:rsidRPr="006A2448">
        <w:rPr>
          <w:rFonts w:ascii="Garamond" w:hAnsi="Garamond"/>
          <w:lang w:val="en-ID"/>
        </w:rPr>
        <w:lastRenderedPageBreak/>
        <w:t>Meskipun</w:t>
      </w:r>
      <w:proofErr w:type="spellEnd"/>
      <w:r w:rsidRPr="006A2448">
        <w:rPr>
          <w:rFonts w:ascii="Garamond" w:hAnsi="Garamond"/>
          <w:lang w:val="en-ID"/>
        </w:rPr>
        <w:t xml:space="preserve"> </w:t>
      </w:r>
      <w:proofErr w:type="spellStart"/>
      <w:r w:rsidRPr="006A2448">
        <w:rPr>
          <w:rFonts w:ascii="Garamond" w:hAnsi="Garamond"/>
          <w:lang w:val="en-ID"/>
        </w:rPr>
        <w:t>tidak</w:t>
      </w:r>
      <w:proofErr w:type="spellEnd"/>
      <w:r w:rsidRPr="006A2448">
        <w:rPr>
          <w:rFonts w:ascii="Garamond" w:hAnsi="Garamond"/>
          <w:lang w:val="en-ID"/>
        </w:rPr>
        <w:t xml:space="preserve"> </w:t>
      </w:r>
      <w:proofErr w:type="spellStart"/>
      <w:r w:rsidRPr="006A2448">
        <w:rPr>
          <w:rFonts w:ascii="Garamond" w:hAnsi="Garamond"/>
          <w:lang w:val="en-ID"/>
        </w:rPr>
        <w:t>bersifat</w:t>
      </w:r>
      <w:proofErr w:type="spellEnd"/>
      <w:r w:rsidRPr="006A2448">
        <w:rPr>
          <w:rFonts w:ascii="Garamond" w:hAnsi="Garamond"/>
          <w:lang w:val="en-ID"/>
        </w:rPr>
        <w:t xml:space="preserve"> </w:t>
      </w:r>
      <w:proofErr w:type="spellStart"/>
      <w:r w:rsidRPr="006A2448">
        <w:rPr>
          <w:rFonts w:ascii="Garamond" w:hAnsi="Garamond"/>
          <w:lang w:val="en-ID"/>
        </w:rPr>
        <w:t>mengikat</w:t>
      </w:r>
      <w:proofErr w:type="spellEnd"/>
      <w:r w:rsidRPr="006A2448">
        <w:rPr>
          <w:rFonts w:ascii="Garamond" w:hAnsi="Garamond"/>
          <w:lang w:val="en-ID"/>
        </w:rPr>
        <w:t xml:space="preserve"> </w:t>
      </w:r>
      <w:proofErr w:type="spellStart"/>
      <w:r w:rsidRPr="006A2448">
        <w:rPr>
          <w:rFonts w:ascii="Garamond" w:hAnsi="Garamond"/>
          <w:lang w:val="en-ID"/>
        </w:rPr>
        <w:t>secara</w:t>
      </w:r>
      <w:proofErr w:type="spellEnd"/>
      <w:r w:rsidRPr="006A2448">
        <w:rPr>
          <w:rFonts w:ascii="Garamond" w:hAnsi="Garamond"/>
          <w:lang w:val="en-ID"/>
        </w:rPr>
        <w:t xml:space="preserve"> </w:t>
      </w:r>
      <w:proofErr w:type="spellStart"/>
      <w:r w:rsidRPr="006A2448">
        <w:rPr>
          <w:rFonts w:ascii="Garamond" w:hAnsi="Garamond"/>
          <w:lang w:val="en-ID"/>
        </w:rPr>
        <w:t>hukum</w:t>
      </w:r>
      <w:proofErr w:type="spellEnd"/>
      <w:r w:rsidRPr="006A2448">
        <w:rPr>
          <w:rFonts w:ascii="Garamond" w:hAnsi="Garamond"/>
          <w:lang w:val="en-ID"/>
        </w:rPr>
        <w:t xml:space="preserve">, </w:t>
      </w:r>
      <w:proofErr w:type="spellStart"/>
      <w:r w:rsidRPr="006A2448">
        <w:rPr>
          <w:rFonts w:ascii="Garamond" w:hAnsi="Garamond"/>
          <w:lang w:val="en-ID"/>
        </w:rPr>
        <w:t>pengaruh</w:t>
      </w:r>
      <w:proofErr w:type="spellEnd"/>
      <w:r w:rsidRPr="006A2448">
        <w:rPr>
          <w:rFonts w:ascii="Garamond" w:hAnsi="Garamond"/>
          <w:lang w:val="en-ID"/>
        </w:rPr>
        <w:t xml:space="preserve"> fatwa </w:t>
      </w:r>
      <w:proofErr w:type="spellStart"/>
      <w:r w:rsidRPr="006A2448">
        <w:rPr>
          <w:rFonts w:ascii="Garamond" w:hAnsi="Garamond"/>
          <w:lang w:val="en-ID"/>
        </w:rPr>
        <w:t>terhadap</w:t>
      </w:r>
      <w:proofErr w:type="spellEnd"/>
      <w:r w:rsidRPr="006A2448">
        <w:rPr>
          <w:rFonts w:ascii="Garamond" w:hAnsi="Garamond"/>
          <w:lang w:val="en-ID"/>
        </w:rPr>
        <w:t xml:space="preserve"> </w:t>
      </w:r>
      <w:proofErr w:type="spellStart"/>
      <w:r w:rsidRPr="006A2448">
        <w:rPr>
          <w:rFonts w:ascii="Garamond" w:hAnsi="Garamond"/>
          <w:lang w:val="en-ID"/>
        </w:rPr>
        <w:t>panduan</w:t>
      </w:r>
      <w:proofErr w:type="spellEnd"/>
      <w:r w:rsidRPr="006A2448">
        <w:rPr>
          <w:rFonts w:ascii="Garamond" w:hAnsi="Garamond"/>
          <w:lang w:val="en-ID"/>
        </w:rPr>
        <w:t xml:space="preserve"> </w:t>
      </w:r>
      <w:proofErr w:type="spellStart"/>
      <w:r w:rsidRPr="006A2448">
        <w:rPr>
          <w:rFonts w:ascii="Garamond" w:hAnsi="Garamond"/>
          <w:lang w:val="en-ID"/>
        </w:rPr>
        <w:t>kebijakan</w:t>
      </w:r>
      <w:proofErr w:type="spellEnd"/>
      <w:r w:rsidRPr="006A2448">
        <w:rPr>
          <w:rFonts w:ascii="Garamond" w:hAnsi="Garamond"/>
          <w:lang w:val="en-ID"/>
        </w:rPr>
        <w:t xml:space="preserve"> </w:t>
      </w:r>
      <w:proofErr w:type="spellStart"/>
      <w:r w:rsidRPr="006A2448">
        <w:rPr>
          <w:rFonts w:ascii="Garamond" w:hAnsi="Garamond"/>
          <w:lang w:val="en-ID"/>
        </w:rPr>
        <w:t>cukup</w:t>
      </w:r>
      <w:proofErr w:type="spellEnd"/>
      <w:r w:rsidRPr="006A2448">
        <w:rPr>
          <w:rFonts w:ascii="Garamond" w:hAnsi="Garamond"/>
          <w:lang w:val="en-ID"/>
        </w:rPr>
        <w:t xml:space="preserve"> </w:t>
      </w:r>
      <w:proofErr w:type="spellStart"/>
      <w:r w:rsidRPr="006A2448">
        <w:rPr>
          <w:rFonts w:ascii="Garamond" w:hAnsi="Garamond"/>
          <w:lang w:val="en-ID"/>
        </w:rPr>
        <w:t>signifikan</w:t>
      </w:r>
      <w:proofErr w:type="spellEnd"/>
      <w:r w:rsidRPr="006A2448">
        <w:rPr>
          <w:rFonts w:ascii="Garamond" w:hAnsi="Garamond"/>
          <w:lang w:val="en-ID"/>
        </w:rPr>
        <w:t xml:space="preserve">, </w:t>
      </w:r>
      <w:proofErr w:type="spellStart"/>
      <w:r w:rsidRPr="006A2448">
        <w:rPr>
          <w:rFonts w:ascii="Garamond" w:hAnsi="Garamond"/>
          <w:lang w:val="en-ID"/>
        </w:rPr>
        <w:t>terutama</w:t>
      </w:r>
      <w:proofErr w:type="spellEnd"/>
      <w:r w:rsidRPr="006A2448">
        <w:rPr>
          <w:rFonts w:ascii="Garamond" w:hAnsi="Garamond"/>
          <w:lang w:val="en-ID"/>
        </w:rPr>
        <w:t xml:space="preserve"> </w:t>
      </w:r>
      <w:proofErr w:type="spellStart"/>
      <w:r w:rsidRPr="006A2448">
        <w:rPr>
          <w:rFonts w:ascii="Garamond" w:hAnsi="Garamond"/>
          <w:lang w:val="en-ID"/>
        </w:rPr>
        <w:t>dalam</w:t>
      </w:r>
      <w:proofErr w:type="spellEnd"/>
      <w:r w:rsidRPr="006A2448">
        <w:rPr>
          <w:rFonts w:ascii="Garamond" w:hAnsi="Garamond"/>
          <w:lang w:val="en-ID"/>
        </w:rPr>
        <w:t xml:space="preserve"> </w:t>
      </w:r>
      <w:proofErr w:type="spellStart"/>
      <w:r w:rsidRPr="006A2448">
        <w:rPr>
          <w:rFonts w:ascii="Garamond" w:hAnsi="Garamond"/>
          <w:lang w:val="en-ID"/>
        </w:rPr>
        <w:t>isu</w:t>
      </w:r>
      <w:proofErr w:type="spellEnd"/>
      <w:r w:rsidRPr="006A2448">
        <w:rPr>
          <w:rFonts w:ascii="Garamond" w:hAnsi="Garamond"/>
          <w:lang w:val="en-ID"/>
        </w:rPr>
        <w:t xml:space="preserve"> moral dan </w:t>
      </w:r>
      <w:proofErr w:type="spellStart"/>
      <w:r w:rsidRPr="006A2448">
        <w:rPr>
          <w:rFonts w:ascii="Garamond" w:hAnsi="Garamond"/>
          <w:lang w:val="en-ID"/>
        </w:rPr>
        <w:t>sosial</w:t>
      </w:r>
      <w:proofErr w:type="spellEnd"/>
      <w:r w:rsidRPr="006A2448">
        <w:rPr>
          <w:rFonts w:ascii="Garamond" w:hAnsi="Garamond"/>
          <w:lang w:val="en-ID"/>
        </w:rPr>
        <w:t xml:space="preserve">, </w:t>
      </w:r>
      <w:proofErr w:type="spellStart"/>
      <w:r w:rsidRPr="006A2448">
        <w:rPr>
          <w:rFonts w:ascii="Garamond" w:hAnsi="Garamond"/>
          <w:lang w:val="en-ID"/>
        </w:rPr>
        <w:t>serta</w:t>
      </w:r>
      <w:proofErr w:type="spellEnd"/>
      <w:r w:rsidRPr="006A2448">
        <w:rPr>
          <w:rFonts w:ascii="Garamond" w:hAnsi="Garamond"/>
          <w:lang w:val="en-ID"/>
        </w:rPr>
        <w:t xml:space="preserve"> </w:t>
      </w:r>
      <w:proofErr w:type="spellStart"/>
      <w:r w:rsidRPr="006A2448">
        <w:rPr>
          <w:rFonts w:ascii="Garamond" w:hAnsi="Garamond"/>
          <w:lang w:val="en-ID"/>
        </w:rPr>
        <w:t>penciptaan</w:t>
      </w:r>
      <w:proofErr w:type="spellEnd"/>
      <w:r w:rsidRPr="006A2448">
        <w:rPr>
          <w:rFonts w:ascii="Garamond" w:hAnsi="Garamond"/>
          <w:lang w:val="en-ID"/>
        </w:rPr>
        <w:t xml:space="preserve"> </w:t>
      </w:r>
      <w:proofErr w:type="spellStart"/>
      <w:r w:rsidRPr="006A2448">
        <w:rPr>
          <w:rFonts w:ascii="Garamond" w:hAnsi="Garamond"/>
          <w:lang w:val="en-ID"/>
        </w:rPr>
        <w:t>ruang</w:t>
      </w:r>
      <w:proofErr w:type="spellEnd"/>
      <w:r w:rsidRPr="006A2448">
        <w:rPr>
          <w:rFonts w:ascii="Garamond" w:hAnsi="Garamond"/>
          <w:lang w:val="en-ID"/>
        </w:rPr>
        <w:t xml:space="preserve"> dialog </w:t>
      </w:r>
      <w:proofErr w:type="spellStart"/>
      <w:r w:rsidRPr="006A2448">
        <w:rPr>
          <w:rFonts w:ascii="Garamond" w:hAnsi="Garamond"/>
          <w:lang w:val="en-ID"/>
        </w:rPr>
        <w:t>antara</w:t>
      </w:r>
      <w:proofErr w:type="spellEnd"/>
      <w:r w:rsidRPr="006A2448">
        <w:rPr>
          <w:rFonts w:ascii="Garamond" w:hAnsi="Garamond"/>
          <w:lang w:val="en-ID"/>
        </w:rPr>
        <w:t xml:space="preserve"> negara dan </w:t>
      </w:r>
      <w:proofErr w:type="spellStart"/>
      <w:r w:rsidRPr="006A2448">
        <w:rPr>
          <w:rFonts w:ascii="Garamond" w:hAnsi="Garamond"/>
          <w:lang w:val="en-ID"/>
        </w:rPr>
        <w:t>masyarakat</w:t>
      </w:r>
      <w:proofErr w:type="spellEnd"/>
      <w:r w:rsidRPr="006A2448">
        <w:rPr>
          <w:rFonts w:ascii="Garamond" w:hAnsi="Garamond"/>
          <w:lang w:val="en-ID"/>
        </w:rPr>
        <w:t xml:space="preserve">. </w:t>
      </w:r>
      <w:proofErr w:type="spellStart"/>
      <w:r w:rsidRPr="006A2448">
        <w:rPr>
          <w:rFonts w:ascii="Garamond" w:hAnsi="Garamond"/>
          <w:lang w:val="en-ID"/>
        </w:rPr>
        <w:t>Implikasi</w:t>
      </w:r>
      <w:proofErr w:type="spellEnd"/>
      <w:r w:rsidRPr="006A2448">
        <w:rPr>
          <w:rFonts w:ascii="Garamond" w:hAnsi="Garamond"/>
          <w:lang w:val="en-ID"/>
        </w:rPr>
        <w:t xml:space="preserve"> </w:t>
      </w:r>
      <w:proofErr w:type="spellStart"/>
      <w:r w:rsidRPr="006A2448">
        <w:rPr>
          <w:rFonts w:ascii="Garamond" w:hAnsi="Garamond"/>
          <w:lang w:val="en-ID"/>
        </w:rPr>
        <w:t>hasil</w:t>
      </w:r>
      <w:proofErr w:type="spellEnd"/>
      <w:r w:rsidRPr="006A2448">
        <w:rPr>
          <w:rFonts w:ascii="Garamond" w:hAnsi="Garamond"/>
          <w:lang w:val="en-ID"/>
        </w:rPr>
        <w:t xml:space="preserve"> </w:t>
      </w:r>
      <w:proofErr w:type="spellStart"/>
      <w:r w:rsidRPr="006A2448">
        <w:rPr>
          <w:rFonts w:ascii="Garamond" w:hAnsi="Garamond"/>
          <w:lang w:val="en-ID"/>
        </w:rPr>
        <w:t>penelitian</w:t>
      </w:r>
      <w:proofErr w:type="spellEnd"/>
      <w:r w:rsidRPr="006A2448">
        <w:rPr>
          <w:rFonts w:ascii="Garamond" w:hAnsi="Garamond"/>
          <w:lang w:val="en-ID"/>
        </w:rPr>
        <w:t xml:space="preserve"> </w:t>
      </w:r>
      <w:proofErr w:type="spellStart"/>
      <w:r w:rsidRPr="006A2448">
        <w:rPr>
          <w:rFonts w:ascii="Garamond" w:hAnsi="Garamond"/>
          <w:lang w:val="en-ID"/>
        </w:rPr>
        <w:t>menunjukkan</w:t>
      </w:r>
      <w:proofErr w:type="spellEnd"/>
      <w:r w:rsidRPr="006A2448">
        <w:rPr>
          <w:rFonts w:ascii="Garamond" w:hAnsi="Garamond"/>
          <w:lang w:val="en-ID"/>
        </w:rPr>
        <w:t xml:space="preserve"> </w:t>
      </w:r>
      <w:proofErr w:type="spellStart"/>
      <w:r w:rsidRPr="006A2448">
        <w:rPr>
          <w:rFonts w:ascii="Garamond" w:hAnsi="Garamond"/>
          <w:lang w:val="en-ID"/>
        </w:rPr>
        <w:t>pentingnya</w:t>
      </w:r>
      <w:proofErr w:type="spellEnd"/>
      <w:r w:rsidRPr="006A2448">
        <w:rPr>
          <w:rFonts w:ascii="Garamond" w:hAnsi="Garamond"/>
          <w:lang w:val="en-ID"/>
        </w:rPr>
        <w:t xml:space="preserve"> </w:t>
      </w:r>
      <w:proofErr w:type="spellStart"/>
      <w:r w:rsidRPr="006A2448">
        <w:rPr>
          <w:rFonts w:ascii="Garamond" w:hAnsi="Garamond"/>
          <w:lang w:val="en-ID"/>
        </w:rPr>
        <w:t>memahami</w:t>
      </w:r>
      <w:proofErr w:type="spellEnd"/>
      <w:r w:rsidRPr="006A2448">
        <w:rPr>
          <w:rFonts w:ascii="Garamond" w:hAnsi="Garamond"/>
          <w:lang w:val="en-ID"/>
        </w:rPr>
        <w:t xml:space="preserve"> </w:t>
      </w:r>
      <w:proofErr w:type="spellStart"/>
      <w:r w:rsidRPr="006A2448">
        <w:rPr>
          <w:rFonts w:ascii="Garamond" w:hAnsi="Garamond"/>
          <w:lang w:val="en-ID"/>
        </w:rPr>
        <w:t>peran</w:t>
      </w:r>
      <w:proofErr w:type="spellEnd"/>
      <w:r w:rsidRPr="006A2448">
        <w:rPr>
          <w:rFonts w:ascii="Garamond" w:hAnsi="Garamond"/>
          <w:lang w:val="en-ID"/>
        </w:rPr>
        <w:t xml:space="preserve"> fatwa </w:t>
      </w:r>
      <w:proofErr w:type="spellStart"/>
      <w:r w:rsidRPr="006A2448">
        <w:rPr>
          <w:rFonts w:ascii="Garamond" w:hAnsi="Garamond"/>
          <w:lang w:val="en-ID"/>
        </w:rPr>
        <w:t>bukan</w:t>
      </w:r>
      <w:proofErr w:type="spellEnd"/>
      <w:r w:rsidRPr="006A2448">
        <w:rPr>
          <w:rFonts w:ascii="Garamond" w:hAnsi="Garamond"/>
          <w:lang w:val="en-ID"/>
        </w:rPr>
        <w:t xml:space="preserve"> </w:t>
      </w:r>
      <w:proofErr w:type="spellStart"/>
      <w:r w:rsidRPr="006A2448">
        <w:rPr>
          <w:rFonts w:ascii="Garamond" w:hAnsi="Garamond"/>
          <w:lang w:val="en-ID"/>
        </w:rPr>
        <w:t>hanya</w:t>
      </w:r>
      <w:proofErr w:type="spellEnd"/>
      <w:r w:rsidRPr="006A2448">
        <w:rPr>
          <w:rFonts w:ascii="Garamond" w:hAnsi="Garamond"/>
          <w:lang w:val="en-ID"/>
        </w:rPr>
        <w:t xml:space="preserve"> </w:t>
      </w:r>
      <w:proofErr w:type="spellStart"/>
      <w:r w:rsidRPr="006A2448">
        <w:rPr>
          <w:rFonts w:ascii="Garamond" w:hAnsi="Garamond"/>
          <w:lang w:val="en-ID"/>
        </w:rPr>
        <w:t>sebagai</w:t>
      </w:r>
      <w:proofErr w:type="spellEnd"/>
      <w:r w:rsidRPr="006A2448">
        <w:rPr>
          <w:rFonts w:ascii="Garamond" w:hAnsi="Garamond"/>
          <w:lang w:val="en-ID"/>
        </w:rPr>
        <w:t xml:space="preserve"> </w:t>
      </w:r>
      <w:proofErr w:type="spellStart"/>
      <w:r w:rsidRPr="006A2448">
        <w:rPr>
          <w:rFonts w:ascii="Garamond" w:hAnsi="Garamond"/>
          <w:lang w:val="en-ID"/>
        </w:rPr>
        <w:t>produk</w:t>
      </w:r>
      <w:proofErr w:type="spellEnd"/>
      <w:r w:rsidRPr="006A2448">
        <w:rPr>
          <w:rFonts w:ascii="Garamond" w:hAnsi="Garamond"/>
          <w:lang w:val="en-ID"/>
        </w:rPr>
        <w:t xml:space="preserve"> </w:t>
      </w:r>
      <w:proofErr w:type="spellStart"/>
      <w:r w:rsidRPr="006A2448">
        <w:rPr>
          <w:rFonts w:ascii="Garamond" w:hAnsi="Garamond"/>
          <w:lang w:val="en-ID"/>
        </w:rPr>
        <w:t>keagamaan</w:t>
      </w:r>
      <w:proofErr w:type="spellEnd"/>
      <w:r w:rsidRPr="006A2448">
        <w:rPr>
          <w:rFonts w:ascii="Garamond" w:hAnsi="Garamond"/>
          <w:lang w:val="en-ID"/>
        </w:rPr>
        <w:t xml:space="preserve">, </w:t>
      </w:r>
      <w:proofErr w:type="spellStart"/>
      <w:r w:rsidRPr="006A2448">
        <w:rPr>
          <w:rFonts w:ascii="Garamond" w:hAnsi="Garamond"/>
          <w:lang w:val="en-ID"/>
        </w:rPr>
        <w:t>tetapi</w:t>
      </w:r>
      <w:proofErr w:type="spellEnd"/>
      <w:r w:rsidRPr="006A2448">
        <w:rPr>
          <w:rFonts w:ascii="Garamond" w:hAnsi="Garamond"/>
          <w:lang w:val="en-ID"/>
        </w:rPr>
        <w:t xml:space="preserve"> juga </w:t>
      </w:r>
      <w:proofErr w:type="spellStart"/>
      <w:r w:rsidRPr="006A2448">
        <w:rPr>
          <w:rFonts w:ascii="Garamond" w:hAnsi="Garamond"/>
          <w:lang w:val="en-ID"/>
        </w:rPr>
        <w:t>sebagai</w:t>
      </w:r>
      <w:proofErr w:type="spellEnd"/>
      <w:r w:rsidRPr="006A2448">
        <w:rPr>
          <w:rFonts w:ascii="Garamond" w:hAnsi="Garamond"/>
          <w:lang w:val="en-ID"/>
        </w:rPr>
        <w:t xml:space="preserve"> </w:t>
      </w:r>
      <w:proofErr w:type="spellStart"/>
      <w:r w:rsidRPr="006A2448">
        <w:rPr>
          <w:rFonts w:ascii="Garamond" w:hAnsi="Garamond"/>
          <w:lang w:val="en-ID"/>
        </w:rPr>
        <w:t>instrumen</w:t>
      </w:r>
      <w:proofErr w:type="spellEnd"/>
      <w:r w:rsidRPr="006A2448">
        <w:rPr>
          <w:rFonts w:ascii="Garamond" w:hAnsi="Garamond"/>
          <w:lang w:val="en-ID"/>
        </w:rPr>
        <w:t xml:space="preserve"> </w:t>
      </w:r>
      <w:proofErr w:type="spellStart"/>
      <w:r w:rsidRPr="006A2448">
        <w:rPr>
          <w:rFonts w:ascii="Garamond" w:hAnsi="Garamond"/>
          <w:lang w:val="en-ID"/>
        </w:rPr>
        <w:t>politik</w:t>
      </w:r>
      <w:proofErr w:type="spellEnd"/>
      <w:r w:rsidRPr="006A2448">
        <w:rPr>
          <w:rFonts w:ascii="Garamond" w:hAnsi="Garamond"/>
          <w:lang w:val="en-ID"/>
        </w:rPr>
        <w:t xml:space="preserve"> </w:t>
      </w:r>
      <w:proofErr w:type="spellStart"/>
      <w:r w:rsidRPr="006A2448">
        <w:rPr>
          <w:rFonts w:ascii="Garamond" w:hAnsi="Garamond"/>
          <w:lang w:val="en-ID"/>
        </w:rPr>
        <w:t>sosial</w:t>
      </w:r>
      <w:proofErr w:type="spellEnd"/>
      <w:r w:rsidRPr="006A2448">
        <w:rPr>
          <w:rFonts w:ascii="Garamond" w:hAnsi="Garamond"/>
          <w:lang w:val="en-ID"/>
        </w:rPr>
        <w:t xml:space="preserve"> </w:t>
      </w:r>
      <w:proofErr w:type="spellStart"/>
      <w:r w:rsidRPr="006A2448">
        <w:rPr>
          <w:rFonts w:ascii="Garamond" w:hAnsi="Garamond"/>
          <w:lang w:val="en-ID"/>
        </w:rPr>
        <w:t>dalam</w:t>
      </w:r>
      <w:proofErr w:type="spellEnd"/>
      <w:r w:rsidRPr="006A2448">
        <w:rPr>
          <w:rFonts w:ascii="Garamond" w:hAnsi="Garamond"/>
          <w:lang w:val="en-ID"/>
        </w:rPr>
        <w:t xml:space="preserve"> </w:t>
      </w:r>
      <w:proofErr w:type="spellStart"/>
      <w:r w:rsidRPr="006A2448">
        <w:rPr>
          <w:rFonts w:ascii="Garamond" w:hAnsi="Garamond"/>
          <w:lang w:val="en-ID"/>
        </w:rPr>
        <w:t>arsitektur</w:t>
      </w:r>
      <w:proofErr w:type="spellEnd"/>
      <w:r w:rsidRPr="006A2448">
        <w:rPr>
          <w:rFonts w:ascii="Garamond" w:hAnsi="Garamond"/>
          <w:lang w:val="en-ID"/>
        </w:rPr>
        <w:t xml:space="preserve"> </w:t>
      </w:r>
      <w:proofErr w:type="spellStart"/>
      <w:r w:rsidRPr="006A2448">
        <w:rPr>
          <w:rFonts w:ascii="Garamond" w:hAnsi="Garamond"/>
          <w:lang w:val="en-ID"/>
        </w:rPr>
        <w:t>kebijakan</w:t>
      </w:r>
      <w:proofErr w:type="spellEnd"/>
      <w:r w:rsidRPr="006A2448">
        <w:rPr>
          <w:rFonts w:ascii="Garamond" w:hAnsi="Garamond"/>
          <w:lang w:val="en-ID"/>
        </w:rPr>
        <w:t xml:space="preserve"> </w:t>
      </w:r>
      <w:proofErr w:type="spellStart"/>
      <w:r w:rsidRPr="006A2448">
        <w:rPr>
          <w:rFonts w:ascii="Garamond" w:hAnsi="Garamond"/>
          <w:lang w:val="en-ID"/>
        </w:rPr>
        <w:t>publik</w:t>
      </w:r>
      <w:proofErr w:type="spellEnd"/>
      <w:r w:rsidRPr="006A2448">
        <w:rPr>
          <w:rFonts w:ascii="Garamond" w:hAnsi="Garamond"/>
          <w:lang w:val="en-ID"/>
        </w:rPr>
        <w:t>.</w:t>
      </w:r>
    </w:p>
    <w:p w14:paraId="373DF862" w14:textId="151A369D" w:rsidR="0084214D" w:rsidRPr="006A2448" w:rsidRDefault="005000CF" w:rsidP="00347D63">
      <w:pPr>
        <w:snapToGrid w:val="0"/>
        <w:spacing w:after="0" w:line="240" w:lineRule="auto"/>
        <w:ind w:right="141"/>
        <w:jc w:val="both"/>
        <w:rPr>
          <w:rFonts w:ascii="Garamond" w:hAnsi="Garamond" w:cs="Times New Roman"/>
        </w:rPr>
      </w:pPr>
      <w:r w:rsidRPr="006A2448">
        <w:rPr>
          <w:rFonts w:ascii="Garamond" w:hAnsi="Garamond" w:cs="Times New Roman"/>
          <w:b/>
        </w:rPr>
        <w:t>Keywords</w:t>
      </w:r>
      <w:r w:rsidRPr="006A2448">
        <w:rPr>
          <w:rStyle w:val="ShortAbstract"/>
          <w:rFonts w:ascii="Garamond" w:eastAsia="MS Mincho" w:hAnsi="Garamond" w:cs="Times New Roman"/>
          <w:sz w:val="22"/>
        </w:rPr>
        <w:t>:</w:t>
      </w:r>
      <w:r w:rsidR="001232A2" w:rsidRPr="006A2448">
        <w:rPr>
          <w:rFonts w:ascii="Garamond" w:hAnsi="Garamond"/>
        </w:rPr>
        <w:t xml:space="preserve"> </w:t>
      </w:r>
      <w:proofErr w:type="spellStart"/>
      <w:r w:rsidR="006A6C13" w:rsidRPr="006A2448">
        <w:rPr>
          <w:rFonts w:ascii="Garamond" w:hAnsi="Garamond"/>
          <w:lang w:val="en-ID"/>
        </w:rPr>
        <w:t>Dinamika</w:t>
      </w:r>
      <w:proofErr w:type="spellEnd"/>
      <w:r w:rsidR="006A6C13" w:rsidRPr="006A2448">
        <w:rPr>
          <w:rFonts w:ascii="Garamond" w:hAnsi="Garamond"/>
          <w:lang w:val="en-ID"/>
        </w:rPr>
        <w:t xml:space="preserve"> Politik; Fatwa; </w:t>
      </w:r>
      <w:proofErr w:type="spellStart"/>
      <w:r w:rsidR="006A6C13" w:rsidRPr="006A2448">
        <w:rPr>
          <w:rFonts w:ascii="Garamond" w:hAnsi="Garamond"/>
          <w:lang w:val="en-ID"/>
        </w:rPr>
        <w:t>Otoritas</w:t>
      </w:r>
      <w:proofErr w:type="spellEnd"/>
      <w:r w:rsidR="006A6C13" w:rsidRPr="006A2448">
        <w:rPr>
          <w:rFonts w:ascii="Garamond" w:hAnsi="Garamond"/>
          <w:lang w:val="en-ID"/>
        </w:rPr>
        <w:t xml:space="preserve"> </w:t>
      </w:r>
      <w:proofErr w:type="spellStart"/>
      <w:r w:rsidR="006A6C13" w:rsidRPr="006A2448">
        <w:rPr>
          <w:rFonts w:ascii="Garamond" w:hAnsi="Garamond"/>
          <w:lang w:val="en-ID"/>
        </w:rPr>
        <w:t>Keagamaan</w:t>
      </w:r>
      <w:proofErr w:type="spellEnd"/>
      <w:r w:rsidR="006A6C13" w:rsidRPr="006A2448">
        <w:rPr>
          <w:rFonts w:ascii="Garamond" w:hAnsi="Garamond"/>
          <w:lang w:val="en-ID"/>
        </w:rPr>
        <w:t>;</w:t>
      </w:r>
      <w:r w:rsidR="00347D63" w:rsidRPr="006A2448">
        <w:rPr>
          <w:rFonts w:ascii="Garamond" w:hAnsi="Garamond"/>
          <w:lang w:val="en-ID"/>
        </w:rPr>
        <w:t xml:space="preserve"> </w:t>
      </w:r>
      <w:r w:rsidR="006A6C13" w:rsidRPr="006A2448">
        <w:rPr>
          <w:rFonts w:ascii="Garamond" w:hAnsi="Garamond"/>
          <w:lang w:val="en-ID"/>
        </w:rPr>
        <w:t>Religious Politics.</w:t>
      </w:r>
    </w:p>
    <w:p w14:paraId="352E1803" w14:textId="77777777" w:rsidR="00B57869" w:rsidRPr="006A2448" w:rsidRDefault="00B57869">
      <w:pPr>
        <w:spacing w:after="0"/>
        <w:rPr>
          <w:rStyle w:val="ShortAbstract"/>
          <w:rFonts w:ascii="Garamond" w:eastAsia="MS Mincho" w:hAnsi="Garamond" w:cs="Times New Roman"/>
          <w:szCs w:val="20"/>
        </w:rPr>
      </w:pPr>
    </w:p>
    <w:p w14:paraId="1DB9325E" w14:textId="77777777" w:rsidR="0089673C" w:rsidRPr="006A2448" w:rsidRDefault="0080274A" w:rsidP="0089673C">
      <w:pPr>
        <w:snapToGrid w:val="0"/>
        <w:spacing w:after="0"/>
        <w:jc w:val="both"/>
        <w:rPr>
          <w:rFonts w:ascii="Garamond" w:hAnsi="Garamond" w:cs="Times New Roman"/>
          <w:b/>
          <w:sz w:val="24"/>
          <w:szCs w:val="24"/>
        </w:rPr>
      </w:pPr>
      <w:r w:rsidRPr="006A2448">
        <w:rPr>
          <w:rFonts w:ascii="Garamond" w:hAnsi="Garamond" w:cs="Times New Roman"/>
          <w:b/>
          <w:sz w:val="24"/>
          <w:szCs w:val="24"/>
        </w:rPr>
        <w:t>INTRODUCTION</w:t>
      </w:r>
    </w:p>
    <w:p w14:paraId="03C40DF8" w14:textId="77777777" w:rsidR="006A6C13" w:rsidRPr="006A2448" w:rsidRDefault="006A6C13" w:rsidP="00177BE4">
      <w:pPr>
        <w:spacing w:after="0"/>
        <w:jc w:val="both"/>
        <w:rPr>
          <w:rFonts w:ascii="Garamond" w:hAnsi="Garamond" w:cstheme="majorBidi"/>
          <w:sz w:val="24"/>
          <w:szCs w:val="24"/>
          <w:lang w:val="en-ID"/>
        </w:rPr>
      </w:pPr>
      <w:r w:rsidRPr="006A2448">
        <w:rPr>
          <w:rFonts w:ascii="Garamond" w:hAnsi="Garamond" w:cstheme="majorBidi"/>
          <w:sz w:val="24"/>
          <w:szCs w:val="24"/>
        </w:rPr>
        <w:t>In a democratic system with the largest Muslim population, such as Indonesia, the relationship between religion and politics has always been a complex issue</w:t>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1"/>
      </w:r>
      <w:r w:rsidRPr="006A2448">
        <w:rPr>
          <w:rStyle w:val="FootnoteReference"/>
          <w:rFonts w:ascii="Garamond" w:hAnsi="Garamond" w:cstheme="majorBidi"/>
          <w:sz w:val="24"/>
          <w:szCs w:val="24"/>
          <w:lang w:val="en-ID"/>
        </w:rPr>
        <w:footnoteReference w:id="2"/>
      </w:r>
      <w:r w:rsidRPr="006A2448">
        <w:rPr>
          <w:rFonts w:ascii="Garamond" w:hAnsi="Garamond" w:cstheme="majorBidi"/>
          <w:sz w:val="24"/>
          <w:szCs w:val="24"/>
          <w:lang w:val="en-ID"/>
        </w:rPr>
        <w:t xml:space="preserve"> </w:t>
      </w:r>
      <w:r w:rsidRPr="006A2448">
        <w:rPr>
          <w:rFonts w:ascii="Garamond" w:hAnsi="Garamond" w:cstheme="majorBidi"/>
          <w:sz w:val="24"/>
          <w:szCs w:val="24"/>
        </w:rPr>
        <w:t>Based on data from the Central Statistics Agency and the Ministry of Home Affairs, the population of Indonesia in the first semester of 2024 reached approximately 282.47 million. Of this number, 245.97 million people, or around 87.08 percent, are Muslim.</w:t>
      </w:r>
      <w:r w:rsidRPr="006A2448">
        <w:rPr>
          <w:rStyle w:val="FootnoteReference"/>
          <w:rFonts w:ascii="Garamond" w:hAnsi="Garamond" w:cstheme="majorBidi"/>
          <w:sz w:val="24"/>
          <w:szCs w:val="24"/>
        </w:rPr>
        <w:footnoteReference w:id="3"/>
      </w:r>
      <w:r w:rsidRPr="006A2448">
        <w:rPr>
          <w:rFonts w:ascii="Garamond" w:hAnsi="Garamond" w:cstheme="majorBidi"/>
          <w:sz w:val="24"/>
          <w:szCs w:val="24"/>
        </w:rPr>
        <w:t xml:space="preserve"> This data confirms Indonesia's position as the country with the largest Muslim population in the world. In this context, major religious institutions, particularly the Indonesian Ulema Council (MUI), </w:t>
      </w:r>
      <w:proofErr w:type="spellStart"/>
      <w:r w:rsidRPr="006A2448">
        <w:rPr>
          <w:rFonts w:ascii="Garamond" w:hAnsi="Garamond" w:cstheme="majorBidi"/>
          <w:sz w:val="24"/>
          <w:szCs w:val="24"/>
        </w:rPr>
        <w:t>Nahdlatul</w:t>
      </w:r>
      <w:proofErr w:type="spellEnd"/>
      <w:r w:rsidRPr="006A2448">
        <w:rPr>
          <w:rFonts w:ascii="Garamond" w:hAnsi="Garamond" w:cstheme="majorBidi"/>
          <w:sz w:val="24"/>
          <w:szCs w:val="24"/>
        </w:rPr>
        <w:t xml:space="preserve"> Ulama (NU) with more than 90 million members, and Muhammadiyah with around 60 million members, have a strategic position and play a significant role in social, political, and religious dynamics in the public sphere.</w:t>
      </w:r>
      <w:r w:rsidRPr="006A2448">
        <w:rPr>
          <w:rStyle w:val="FootnoteReference"/>
          <w:rFonts w:ascii="Garamond" w:hAnsi="Garamond" w:cstheme="majorBidi"/>
          <w:sz w:val="24"/>
          <w:szCs w:val="24"/>
        </w:rPr>
        <w:footnoteReference w:id="4"/>
      </w:r>
      <w:r w:rsidRPr="006A2448">
        <w:rPr>
          <w:rFonts w:ascii="Garamond" w:hAnsi="Garamond" w:cstheme="majorBidi"/>
          <w:sz w:val="24"/>
          <w:szCs w:val="24"/>
        </w:rPr>
        <w:t xml:space="preserve"> Normatively, the constitution guarantees freedom of religion and limits religious interference in state affairs. </w:t>
      </w:r>
      <w:r w:rsidRPr="006A2448">
        <w:rPr>
          <w:rStyle w:val="FootnoteReference"/>
          <w:rFonts w:ascii="Garamond" w:hAnsi="Garamond" w:cstheme="majorBidi"/>
          <w:sz w:val="24"/>
          <w:szCs w:val="24"/>
        </w:rPr>
        <w:footnoteReference w:id="5"/>
      </w:r>
      <w:r w:rsidRPr="006A2448">
        <w:rPr>
          <w:rStyle w:val="FootnoteReference"/>
          <w:rFonts w:ascii="Garamond" w:hAnsi="Garamond" w:cstheme="majorBidi"/>
          <w:sz w:val="24"/>
          <w:szCs w:val="24"/>
        </w:rPr>
        <w:footnoteReference w:id="6"/>
      </w:r>
      <w:r w:rsidRPr="006A2448">
        <w:rPr>
          <w:rFonts w:ascii="Garamond" w:hAnsi="Garamond" w:cstheme="majorBidi"/>
          <w:sz w:val="24"/>
          <w:szCs w:val="24"/>
        </w:rPr>
        <w:t xml:space="preserve"> However, in practice, there is significant overlap between religious authority and public policy. </w:t>
      </w:r>
      <w:r w:rsidRPr="006A2448">
        <w:rPr>
          <w:rStyle w:val="FootnoteReference"/>
          <w:rFonts w:ascii="Garamond" w:hAnsi="Garamond" w:cstheme="majorBidi"/>
          <w:sz w:val="24"/>
          <w:szCs w:val="24"/>
          <w:lang w:val="en-ID"/>
        </w:rPr>
        <w:footnoteReference w:id="7"/>
      </w:r>
      <w:r w:rsidRPr="006A2448">
        <w:rPr>
          <w:rStyle w:val="FootnoteReference"/>
          <w:rFonts w:ascii="Garamond" w:hAnsi="Garamond" w:cstheme="majorBidi"/>
          <w:sz w:val="24"/>
          <w:szCs w:val="24"/>
          <w:lang w:val="en-ID"/>
        </w:rPr>
        <w:footnoteReference w:id="8"/>
      </w:r>
      <w:r w:rsidRPr="006A2448">
        <w:rPr>
          <w:rFonts w:ascii="Garamond" w:hAnsi="Garamond" w:cstheme="majorBidi"/>
          <w:sz w:val="24"/>
          <w:szCs w:val="24"/>
          <w:lang w:val="en-ID"/>
        </w:rPr>
        <w:t xml:space="preserve"> </w:t>
      </w:r>
      <w:r w:rsidRPr="006A2448">
        <w:rPr>
          <w:rFonts w:ascii="Garamond" w:hAnsi="Garamond" w:cstheme="majorBidi"/>
          <w:sz w:val="24"/>
          <w:szCs w:val="24"/>
        </w:rPr>
        <w:t>This study specifically focuses on the role of MUI, NU, and Muhammadiyah in producing and mobilizing fatwas to influence public policy and political dynamics in Indonesia</w:t>
      </w:r>
      <w:r w:rsidRPr="006A2448">
        <w:rPr>
          <w:rFonts w:ascii="Garamond" w:hAnsi="Garamond" w:cstheme="majorBidi"/>
          <w:sz w:val="24"/>
          <w:szCs w:val="24"/>
          <w:lang w:val="en-ID"/>
        </w:rPr>
        <w:t>.</w:t>
      </w:r>
      <w:r w:rsidRPr="006A2448">
        <w:rPr>
          <w:rStyle w:val="FootnoteReference"/>
          <w:rFonts w:ascii="Garamond" w:hAnsi="Garamond" w:cstheme="majorBidi"/>
          <w:sz w:val="24"/>
          <w:szCs w:val="24"/>
          <w:lang w:val="en-ID"/>
        </w:rPr>
        <w:footnoteReference w:id="9"/>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10"/>
      </w:r>
    </w:p>
    <w:p w14:paraId="1358A628" w14:textId="77777777"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rPr>
        <w:t xml:space="preserve">Fatwas, as a form </w:t>
      </w:r>
      <w:r w:rsidRPr="006A2448">
        <w:rPr>
          <w:rFonts w:ascii="Garamond" w:hAnsi="Garamond" w:cstheme="majorBidi"/>
          <w:i/>
          <w:iCs/>
          <w:sz w:val="24"/>
          <w:szCs w:val="24"/>
        </w:rPr>
        <w:t>of non-state</w:t>
      </w:r>
      <w:r w:rsidRPr="006A2448">
        <w:rPr>
          <w:rFonts w:ascii="Garamond" w:hAnsi="Garamond" w:cstheme="majorBidi"/>
          <w:sz w:val="24"/>
          <w:szCs w:val="24"/>
        </w:rPr>
        <w:t xml:space="preserve"> Islamic </w:t>
      </w:r>
      <w:r w:rsidRPr="006A2448">
        <w:rPr>
          <w:rFonts w:ascii="Garamond" w:hAnsi="Garamond" w:cstheme="majorBidi"/>
          <w:i/>
          <w:iCs/>
          <w:sz w:val="24"/>
          <w:szCs w:val="24"/>
        </w:rPr>
        <w:t>law</w:t>
      </w:r>
      <w:r w:rsidRPr="006A2448">
        <w:rPr>
          <w:rFonts w:ascii="Garamond" w:hAnsi="Garamond" w:cstheme="majorBidi"/>
          <w:sz w:val="24"/>
          <w:szCs w:val="24"/>
        </w:rPr>
        <w:t>, have strong social legitimacy among Indonesian Muslims</w:t>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11"/>
      </w:r>
      <w:r w:rsidRPr="006A2448">
        <w:rPr>
          <w:rStyle w:val="FootnoteReference"/>
          <w:rFonts w:ascii="Garamond" w:hAnsi="Garamond" w:cstheme="majorBidi"/>
          <w:sz w:val="24"/>
          <w:szCs w:val="24"/>
          <w:lang w:val="en-ID"/>
        </w:rPr>
        <w:footnoteReference w:id="12"/>
      </w:r>
      <w:r w:rsidRPr="006A2448">
        <w:rPr>
          <w:rFonts w:ascii="Garamond" w:hAnsi="Garamond" w:cstheme="majorBidi"/>
          <w:sz w:val="24"/>
          <w:szCs w:val="24"/>
          <w:lang w:val="en-ID"/>
        </w:rPr>
        <w:t xml:space="preserve"> </w:t>
      </w:r>
      <w:r w:rsidRPr="006A2448">
        <w:rPr>
          <w:rFonts w:ascii="Garamond" w:hAnsi="Garamond" w:cstheme="majorBidi"/>
          <w:sz w:val="24"/>
          <w:szCs w:val="24"/>
        </w:rPr>
        <w:t xml:space="preserve">Although they do not have formal binding force in the national legal system, fatwas </w:t>
      </w:r>
      <w:r w:rsidRPr="006A2448">
        <w:rPr>
          <w:rFonts w:ascii="Garamond" w:hAnsi="Garamond" w:cstheme="majorBidi"/>
          <w:sz w:val="24"/>
          <w:szCs w:val="24"/>
        </w:rPr>
        <w:lastRenderedPageBreak/>
        <w:t>are often used as an ethical basis by the community and are even referred to by the government in drafting policies</w:t>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13"/>
      </w:r>
      <w:r w:rsidRPr="006A2448">
        <w:rPr>
          <w:rStyle w:val="FootnoteReference"/>
          <w:rFonts w:ascii="Garamond" w:hAnsi="Garamond" w:cstheme="majorBidi"/>
          <w:sz w:val="24"/>
          <w:szCs w:val="24"/>
          <w:lang w:val="en-ID"/>
        </w:rPr>
        <w:footnoteReference w:id="14"/>
      </w:r>
      <w:r w:rsidRPr="006A2448">
        <w:rPr>
          <w:rFonts w:ascii="Garamond" w:hAnsi="Garamond" w:cstheme="majorBidi"/>
          <w:sz w:val="24"/>
          <w:szCs w:val="24"/>
        </w:rPr>
        <w:t xml:space="preserve"> In certain cases, such as the prohibition of heretical sects, the establishment of smoke-free areas, or the formulation of halal regulations, fatwas have played a significant role in shaping the country's regulatory architecture.</w:t>
      </w:r>
      <w:r w:rsidRPr="006A2448">
        <w:rPr>
          <w:rStyle w:val="FootnoteReference"/>
          <w:rFonts w:ascii="Garamond" w:hAnsi="Garamond" w:cstheme="majorBidi"/>
          <w:sz w:val="24"/>
          <w:szCs w:val="24"/>
          <w:lang w:val="en-ID"/>
        </w:rPr>
        <w:footnoteReference w:id="15"/>
      </w:r>
      <w:r w:rsidRPr="006A2448">
        <w:rPr>
          <w:rFonts w:ascii="Garamond" w:hAnsi="Garamond" w:cstheme="majorBidi"/>
          <w:sz w:val="24"/>
          <w:szCs w:val="24"/>
        </w:rPr>
        <w:t xml:space="preserve"> Thus, fatwas have metamorphosed from mere religious instruments into instruments of influence in public governance.</w:t>
      </w:r>
      <w:r w:rsidRPr="006A2448">
        <w:rPr>
          <w:rStyle w:val="FootnoteReference"/>
          <w:rFonts w:ascii="Garamond" w:hAnsi="Garamond" w:cstheme="majorBidi"/>
          <w:sz w:val="24"/>
          <w:szCs w:val="24"/>
          <w:lang w:val="en-ID"/>
        </w:rPr>
        <w:footnoteReference w:id="16"/>
      </w:r>
    </w:p>
    <w:p w14:paraId="4AEB15D0" w14:textId="77777777"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rPr>
        <w:t>However, the involvement of religious institutions in public policy is not without risk</w:t>
      </w:r>
      <w:r w:rsidRPr="006A2448">
        <w:rPr>
          <w:rFonts w:ascii="Garamond" w:hAnsi="Garamond" w:cstheme="majorBidi"/>
          <w:sz w:val="24"/>
          <w:szCs w:val="24"/>
          <w:lang w:val="en-ID"/>
        </w:rPr>
        <w:t>.</w:t>
      </w:r>
      <w:r w:rsidRPr="006A2448">
        <w:rPr>
          <w:rStyle w:val="FootnoteReference"/>
          <w:rFonts w:ascii="Garamond" w:hAnsi="Garamond" w:cstheme="majorBidi"/>
          <w:sz w:val="24"/>
          <w:szCs w:val="24"/>
          <w:lang w:val="en-ID"/>
        </w:rPr>
        <w:footnoteReference w:id="17"/>
      </w:r>
      <w:r w:rsidRPr="006A2448">
        <w:rPr>
          <w:rFonts w:ascii="Garamond" w:hAnsi="Garamond" w:cstheme="majorBidi"/>
          <w:sz w:val="24"/>
          <w:szCs w:val="24"/>
        </w:rPr>
        <w:t xml:space="preserve"> On the one hand, their participation reflects a process of democratization and recognition of local aspirations based on religion</w:t>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18"/>
      </w:r>
      <w:r w:rsidRPr="006A2448">
        <w:rPr>
          <w:rStyle w:val="FootnoteReference"/>
          <w:rFonts w:ascii="Garamond" w:hAnsi="Garamond" w:cstheme="majorBidi"/>
          <w:sz w:val="24"/>
          <w:szCs w:val="24"/>
          <w:lang w:val="en-ID"/>
        </w:rPr>
        <w:footnoteReference w:id="19"/>
      </w:r>
      <w:r w:rsidRPr="006A2448">
        <w:rPr>
          <w:rFonts w:ascii="Garamond" w:hAnsi="Garamond" w:cstheme="majorBidi"/>
          <w:sz w:val="24"/>
          <w:szCs w:val="24"/>
          <w:lang w:val="en-ID"/>
        </w:rPr>
        <w:t xml:space="preserve"> On the other hand, this also raises concerns about the potential for exclusivism, conservatism, and the domination of minority groups by the majority in the formulation of policies that should be inclusive and pluralistic.</w:t>
      </w:r>
      <w:r w:rsidRPr="006A2448">
        <w:rPr>
          <w:rStyle w:val="FootnoteReference"/>
          <w:rFonts w:ascii="Garamond" w:hAnsi="Garamond" w:cstheme="majorBidi"/>
          <w:sz w:val="24"/>
          <w:szCs w:val="24"/>
          <w:lang w:val="en-ID"/>
        </w:rPr>
        <w:footnoteReference w:id="20"/>
      </w:r>
      <w:r w:rsidRPr="006A2448">
        <w:rPr>
          <w:rFonts w:ascii="Garamond" w:hAnsi="Garamond" w:cstheme="majorBidi"/>
          <w:sz w:val="24"/>
          <w:szCs w:val="24"/>
          <w:lang w:val="en-ID"/>
        </w:rPr>
        <w:t xml:space="preserve"> Therefore, it is important to examine how fatwas are produced, disseminated, and mobilized to influence public policy, and to what extent religious actors play a role in the political arena of policy in Indonesia.</w:t>
      </w:r>
      <w:r w:rsidRPr="006A2448">
        <w:rPr>
          <w:rStyle w:val="FootnoteReference"/>
          <w:rFonts w:ascii="Garamond" w:hAnsi="Garamond" w:cstheme="majorBidi"/>
          <w:sz w:val="24"/>
          <w:szCs w:val="24"/>
          <w:lang w:val="en-ID"/>
        </w:rPr>
        <w:footnoteReference w:id="21"/>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22"/>
      </w:r>
    </w:p>
    <w:p w14:paraId="37B098C4" w14:textId="77777777"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lang w:val="en-ID"/>
        </w:rPr>
        <w:t>Studies on the relationship between religion and the state in Indonesia have been the focus of various disciplines, including Islamic studies, politics, sociology, and law.</w:t>
      </w:r>
      <w:r w:rsidRPr="006A2448">
        <w:rPr>
          <w:rStyle w:val="FootnoteReference"/>
          <w:rFonts w:ascii="Garamond" w:hAnsi="Garamond" w:cstheme="majorBidi"/>
          <w:sz w:val="24"/>
          <w:szCs w:val="24"/>
          <w:lang w:val="en-ID"/>
        </w:rPr>
        <w:footnoteReference w:id="23"/>
      </w:r>
      <w:r w:rsidRPr="006A2448">
        <w:rPr>
          <w:rFonts w:ascii="Garamond" w:hAnsi="Garamond" w:cstheme="majorBidi"/>
          <w:sz w:val="24"/>
          <w:szCs w:val="24"/>
        </w:rPr>
        <w:t xml:space="preserve"> Academic literature highlighting the relationship between religion and the state in Indonesia shows a significant shift from the New Order era to the Reformation.</w:t>
      </w:r>
      <w:r w:rsidRPr="006A2448">
        <w:rPr>
          <w:rStyle w:val="FootnoteReference"/>
          <w:rFonts w:ascii="Garamond" w:hAnsi="Garamond" w:cstheme="majorBidi"/>
          <w:sz w:val="24"/>
          <w:szCs w:val="24"/>
          <w:lang w:val="en-ID"/>
        </w:rPr>
        <w:footnoteReference w:id="24"/>
      </w:r>
      <w:r w:rsidRPr="006A2448">
        <w:rPr>
          <w:rFonts w:ascii="Garamond" w:hAnsi="Garamond" w:cstheme="majorBidi"/>
          <w:sz w:val="24"/>
          <w:szCs w:val="24"/>
        </w:rPr>
        <w:t xml:space="preserve"> During the New Order era, religion was controlled by the state as part of national stability.</w:t>
      </w:r>
      <w:r w:rsidRPr="006A2448">
        <w:rPr>
          <w:rStyle w:val="FootnoteReference"/>
          <w:rFonts w:ascii="Garamond" w:hAnsi="Garamond" w:cstheme="majorBidi"/>
          <w:sz w:val="24"/>
          <w:szCs w:val="24"/>
          <w:lang w:val="en-ID"/>
        </w:rPr>
        <w:footnoteReference w:id="25"/>
      </w:r>
      <w:r w:rsidRPr="006A2448">
        <w:rPr>
          <w:rFonts w:ascii="Garamond" w:hAnsi="Garamond" w:cstheme="majorBidi"/>
          <w:sz w:val="24"/>
          <w:szCs w:val="24"/>
        </w:rPr>
        <w:t xml:space="preserve"> However, after the Reformation, religious </w:t>
      </w:r>
      <w:r w:rsidRPr="006A2448">
        <w:rPr>
          <w:rFonts w:ascii="Garamond" w:hAnsi="Garamond" w:cstheme="majorBidi"/>
          <w:sz w:val="24"/>
          <w:szCs w:val="24"/>
        </w:rPr>
        <w:lastRenderedPageBreak/>
        <w:t>authorities gained greater autonomy and intense participation in the public sphere, including in the production of regulations that have a broad impact.</w:t>
      </w:r>
      <w:r w:rsidRPr="006A2448">
        <w:rPr>
          <w:rStyle w:val="FootnoteReference"/>
          <w:rFonts w:ascii="Garamond" w:hAnsi="Garamond" w:cstheme="majorBidi"/>
          <w:sz w:val="24"/>
          <w:szCs w:val="24"/>
          <w:lang w:val="en-ID"/>
        </w:rPr>
        <w:footnoteReference w:id="26"/>
      </w:r>
    </w:p>
    <w:p w14:paraId="0CE166A1" w14:textId="77777777"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lang w:val="en-ID"/>
        </w:rPr>
        <w:t>Studies on fatwas as social and political instruments show that fatwas can be tools of hegemony or resistance.</w:t>
      </w:r>
      <w:r w:rsidRPr="006A2448">
        <w:rPr>
          <w:rStyle w:val="FootnoteReference"/>
          <w:rFonts w:ascii="Garamond" w:hAnsi="Garamond" w:cstheme="majorBidi"/>
          <w:sz w:val="24"/>
          <w:szCs w:val="24"/>
          <w:lang w:val="en-ID"/>
        </w:rPr>
        <w:footnoteReference w:id="27"/>
      </w:r>
      <w:r w:rsidRPr="006A2448">
        <w:rPr>
          <w:rFonts w:ascii="Garamond" w:hAnsi="Garamond" w:cstheme="majorBidi"/>
          <w:sz w:val="24"/>
          <w:szCs w:val="24"/>
          <w:lang w:val="en-ID"/>
        </w:rPr>
        <w:t xml:space="preserve"> </w:t>
      </w:r>
      <w:proofErr w:type="spellStart"/>
      <w:r w:rsidRPr="006A2448">
        <w:rPr>
          <w:rFonts w:ascii="Garamond" w:hAnsi="Garamond" w:cstheme="majorBidi"/>
          <w:sz w:val="24"/>
          <w:szCs w:val="24"/>
          <w:lang w:val="en-ID"/>
        </w:rPr>
        <w:t>Hasibuan</w:t>
      </w:r>
      <w:proofErr w:type="spellEnd"/>
      <w:r w:rsidRPr="006A2448">
        <w:rPr>
          <w:rFonts w:ascii="Garamond" w:hAnsi="Garamond" w:cstheme="majorBidi"/>
          <w:sz w:val="24"/>
          <w:szCs w:val="24"/>
          <w:lang w:val="en-ID"/>
        </w:rPr>
        <w:t xml:space="preserve"> shows how the MUI's fatwa on heretical sects was used by state actors to justify repressive policies.</w:t>
      </w:r>
      <w:r w:rsidRPr="006A2448">
        <w:rPr>
          <w:rStyle w:val="FootnoteReference"/>
          <w:rFonts w:ascii="Garamond" w:hAnsi="Garamond" w:cstheme="majorBidi"/>
          <w:sz w:val="24"/>
          <w:szCs w:val="24"/>
          <w:lang w:val="en-ID"/>
        </w:rPr>
        <w:footnoteReference w:id="28"/>
      </w:r>
      <w:r w:rsidRPr="006A2448">
        <w:rPr>
          <w:rFonts w:ascii="Garamond" w:hAnsi="Garamond" w:cstheme="majorBidi"/>
          <w:sz w:val="24"/>
          <w:szCs w:val="24"/>
          <w:lang w:val="en-ID"/>
        </w:rPr>
        <w:t xml:space="preserve"> Meanwhile, a study by Aniko shows how fatwas contribute to the institutionalization of Islamic law, such as in the formation of the Sharia Banking Law and the Halal Product Guarantee Law. Fatwas, in this context, become active political actors in the legislative arena.</w:t>
      </w:r>
      <w:r w:rsidRPr="006A2448">
        <w:rPr>
          <w:rStyle w:val="FootnoteReference"/>
          <w:rFonts w:ascii="Garamond" w:hAnsi="Garamond" w:cstheme="majorBidi"/>
          <w:sz w:val="24"/>
          <w:szCs w:val="24"/>
          <w:lang w:val="en-ID"/>
        </w:rPr>
        <w:footnoteReference w:id="29"/>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30"/>
      </w:r>
    </w:p>
    <w:p w14:paraId="3E2AF6A5" w14:textId="77777777"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rPr>
        <w:t>However, there are still few studies that specifically explore the mechanisms of fatwa production, dissemination, and advocacy in the contemporary policy process. This study aims to fill this gap through a qualitative field approach to reveal how religious actors build networks of influence in the policy architecture</w:t>
      </w:r>
      <w:r w:rsidRPr="006A2448">
        <w:rPr>
          <w:rFonts w:ascii="Garamond" w:hAnsi="Garamond" w:cstheme="majorBidi"/>
          <w:sz w:val="24"/>
          <w:szCs w:val="24"/>
          <w:lang w:val="en-ID"/>
        </w:rPr>
        <w:t>.</w:t>
      </w:r>
    </w:p>
    <w:p w14:paraId="1144EEB6" w14:textId="77777777"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rPr>
        <w:t xml:space="preserve">In terms of theoretical framework, this study combines the </w:t>
      </w:r>
      <w:r w:rsidRPr="006A2448">
        <w:rPr>
          <w:rFonts w:ascii="Garamond" w:hAnsi="Garamond" w:cstheme="majorBidi"/>
          <w:i/>
          <w:iCs/>
          <w:sz w:val="24"/>
          <w:szCs w:val="24"/>
        </w:rPr>
        <w:t xml:space="preserve">policy network </w:t>
      </w:r>
      <w:r w:rsidRPr="006A2448">
        <w:rPr>
          <w:rFonts w:ascii="Garamond" w:hAnsi="Garamond" w:cstheme="majorBidi"/>
          <w:sz w:val="24"/>
          <w:szCs w:val="24"/>
        </w:rPr>
        <w:t xml:space="preserve">approach with </w:t>
      </w:r>
      <w:r w:rsidRPr="006A2448">
        <w:rPr>
          <w:rFonts w:ascii="Garamond" w:hAnsi="Garamond" w:cstheme="majorBidi"/>
          <w:i/>
          <w:iCs/>
          <w:sz w:val="24"/>
          <w:szCs w:val="24"/>
        </w:rPr>
        <w:t xml:space="preserve">religious authority </w:t>
      </w:r>
      <w:r w:rsidRPr="006A2448">
        <w:rPr>
          <w:rFonts w:ascii="Garamond" w:hAnsi="Garamond" w:cstheme="majorBidi"/>
          <w:sz w:val="24"/>
          <w:szCs w:val="24"/>
        </w:rPr>
        <w:t>theory</w:t>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31"/>
      </w:r>
      <w:r w:rsidRPr="006A2448">
        <w:rPr>
          <w:rStyle w:val="FootnoteReference"/>
          <w:rFonts w:ascii="Garamond" w:hAnsi="Garamond" w:cstheme="majorBidi"/>
          <w:sz w:val="24"/>
          <w:szCs w:val="24"/>
          <w:lang w:val="en-ID"/>
        </w:rPr>
        <w:footnoteReference w:id="32"/>
      </w:r>
      <w:r w:rsidRPr="006A2448">
        <w:rPr>
          <w:rFonts w:ascii="Garamond" w:hAnsi="Garamond" w:cstheme="majorBidi"/>
          <w:i/>
          <w:iCs/>
          <w:sz w:val="24"/>
          <w:szCs w:val="24"/>
        </w:rPr>
        <w:t xml:space="preserve"> Policy networks </w:t>
      </w:r>
      <w:r w:rsidRPr="006A2448">
        <w:rPr>
          <w:rFonts w:ascii="Garamond" w:hAnsi="Garamond" w:cstheme="majorBidi"/>
          <w:sz w:val="24"/>
          <w:szCs w:val="24"/>
        </w:rPr>
        <w:t xml:space="preserve">view the legislative process as the result of interactions between various stakeholders, both formal and informal, including religious institutions that have symbolic resources and social networks. </w:t>
      </w:r>
      <w:r w:rsidRPr="006A2448">
        <w:rPr>
          <w:rStyle w:val="FootnoteReference"/>
          <w:rFonts w:ascii="Garamond" w:hAnsi="Garamond" w:cstheme="majorBidi"/>
          <w:sz w:val="24"/>
          <w:szCs w:val="24"/>
          <w:lang w:val="en-ID"/>
        </w:rPr>
        <w:footnoteReference w:id="33"/>
      </w:r>
      <w:r w:rsidRPr="006A2448">
        <w:rPr>
          <w:rStyle w:val="FootnoteReference"/>
          <w:rFonts w:ascii="Garamond" w:hAnsi="Garamond" w:cstheme="majorBidi"/>
          <w:sz w:val="24"/>
          <w:szCs w:val="24"/>
          <w:lang w:val="en-ID"/>
        </w:rPr>
        <w:footnoteReference w:id="34"/>
      </w:r>
      <w:r w:rsidRPr="006A2448">
        <w:rPr>
          <w:rFonts w:ascii="Garamond" w:hAnsi="Garamond" w:cstheme="majorBidi"/>
          <w:sz w:val="24"/>
          <w:szCs w:val="24"/>
          <w:lang w:val="en-ID"/>
        </w:rPr>
        <w:t xml:space="preserve"> Religious institutions, in this context, are positioned as part of a policy network that exerts influence through the production of knowledge (fatwas), moral legitimacy, and social mobilization. </w:t>
      </w:r>
      <w:r w:rsidRPr="006A2448">
        <w:rPr>
          <w:rStyle w:val="FootnoteReference"/>
          <w:rFonts w:ascii="Garamond" w:hAnsi="Garamond" w:cstheme="majorBidi"/>
          <w:sz w:val="24"/>
          <w:szCs w:val="24"/>
          <w:lang w:val="en-ID"/>
        </w:rPr>
        <w:footnoteReference w:id="35"/>
      </w:r>
      <w:r w:rsidRPr="006A2448">
        <w:rPr>
          <w:rStyle w:val="FootnoteReference"/>
          <w:rFonts w:ascii="Garamond" w:hAnsi="Garamond" w:cstheme="majorBidi"/>
          <w:sz w:val="24"/>
          <w:szCs w:val="24"/>
          <w:lang w:val="en-ID"/>
        </w:rPr>
        <w:footnoteReference w:id="36"/>
      </w:r>
    </w:p>
    <w:p w14:paraId="1C867CA2" w14:textId="71206B94"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rPr>
        <w:t xml:space="preserve">Meanwhile, the theory </w:t>
      </w:r>
      <w:r w:rsidRPr="006A2448">
        <w:rPr>
          <w:rFonts w:ascii="Garamond" w:hAnsi="Garamond" w:cstheme="majorBidi"/>
          <w:i/>
          <w:iCs/>
          <w:sz w:val="24"/>
          <w:szCs w:val="24"/>
        </w:rPr>
        <w:t xml:space="preserve">of religious authority </w:t>
      </w:r>
      <w:r w:rsidRPr="006A2448">
        <w:rPr>
          <w:rFonts w:ascii="Garamond" w:hAnsi="Garamond" w:cstheme="majorBidi"/>
          <w:sz w:val="24"/>
          <w:szCs w:val="24"/>
        </w:rPr>
        <w:t>explains that religious authority is not absolute, but rather formed through social recognition, institutional practices, and specific historical contexts</w:t>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37"/>
      </w:r>
      <w:r w:rsidRPr="006A2448">
        <w:rPr>
          <w:rStyle w:val="FootnoteReference"/>
          <w:rFonts w:ascii="Garamond" w:hAnsi="Garamond" w:cstheme="majorBidi"/>
          <w:sz w:val="24"/>
          <w:szCs w:val="24"/>
          <w:lang w:val="en-ID"/>
        </w:rPr>
        <w:footnoteReference w:id="38"/>
      </w:r>
      <w:r w:rsidRPr="006A2448">
        <w:rPr>
          <w:rFonts w:ascii="Garamond" w:hAnsi="Garamond" w:cstheme="majorBidi"/>
          <w:sz w:val="24"/>
          <w:szCs w:val="24"/>
          <w:lang w:val="en-ID"/>
        </w:rPr>
        <w:t xml:space="preserve"> Religious authority is relational and contextual; it is formed through social recognition, </w:t>
      </w:r>
      <w:r w:rsidRPr="006A2448">
        <w:rPr>
          <w:rFonts w:ascii="Garamond" w:hAnsi="Garamond" w:cstheme="majorBidi"/>
          <w:sz w:val="24"/>
          <w:szCs w:val="24"/>
          <w:lang w:val="en-ID"/>
        </w:rPr>
        <w:lastRenderedPageBreak/>
        <w:t xml:space="preserve">doctrinal articulation, and institutional practices. </w:t>
      </w:r>
      <w:r w:rsidRPr="006A2448">
        <w:rPr>
          <w:rStyle w:val="FootnoteReference"/>
          <w:rFonts w:ascii="Garamond" w:hAnsi="Garamond" w:cstheme="majorBidi"/>
          <w:sz w:val="24"/>
          <w:szCs w:val="24"/>
          <w:lang w:val="en-ID"/>
        </w:rPr>
        <w:footnoteReference w:id="39"/>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40"/>
      </w:r>
      <w:r w:rsidRPr="006A2448">
        <w:rPr>
          <w:rFonts w:ascii="Garamond" w:hAnsi="Garamond" w:cstheme="majorBidi"/>
          <w:sz w:val="24"/>
          <w:szCs w:val="24"/>
          <w:lang w:val="en-ID"/>
        </w:rPr>
        <w:t xml:space="preserve"> Thus, the influence of religious institutions in public policy does not only stem from normative authority, but also from their ability to build social and political networks and legitimacy in the public sphere.</w:t>
      </w:r>
      <w:r w:rsidRPr="006A2448">
        <w:rPr>
          <w:rStyle w:val="FootnoteReference"/>
          <w:rFonts w:ascii="Garamond" w:hAnsi="Garamond" w:cstheme="majorBidi"/>
          <w:sz w:val="24"/>
          <w:szCs w:val="24"/>
          <w:lang w:val="en-ID"/>
        </w:rPr>
        <w:footnoteReference w:id="41"/>
      </w:r>
      <w:r w:rsidRPr="006A2448">
        <w:rPr>
          <w:rFonts w:ascii="Garamond" w:hAnsi="Garamond" w:cstheme="majorBidi"/>
          <w:sz w:val="24"/>
          <w:szCs w:val="24"/>
          <w:lang w:val="en-ID"/>
        </w:rPr>
        <w:t xml:space="preserve"> </w:t>
      </w:r>
      <w:r w:rsidRPr="006A2448">
        <w:rPr>
          <w:rStyle w:val="FootnoteReference"/>
          <w:rFonts w:ascii="Garamond" w:hAnsi="Garamond" w:cstheme="majorBidi"/>
          <w:sz w:val="24"/>
          <w:szCs w:val="24"/>
          <w:lang w:val="en-ID"/>
        </w:rPr>
        <w:footnoteReference w:id="42"/>
      </w:r>
    </w:p>
    <w:p w14:paraId="6E681563" w14:textId="77777777" w:rsidR="006A6C13" w:rsidRPr="006A2448" w:rsidRDefault="006A6C13" w:rsidP="006A6C13">
      <w:pPr>
        <w:spacing w:after="0"/>
        <w:ind w:firstLine="426"/>
        <w:jc w:val="both"/>
        <w:rPr>
          <w:rFonts w:ascii="Garamond" w:hAnsi="Garamond" w:cstheme="majorBidi"/>
          <w:sz w:val="24"/>
          <w:szCs w:val="24"/>
          <w:lang w:val="en-ID"/>
        </w:rPr>
      </w:pPr>
      <w:r w:rsidRPr="006A2448">
        <w:rPr>
          <w:rFonts w:ascii="Garamond" w:hAnsi="Garamond" w:cstheme="majorBidi"/>
          <w:sz w:val="24"/>
          <w:szCs w:val="24"/>
          <w:lang w:val="en-ID"/>
        </w:rPr>
        <w:t>This research is important in providing empirical and theoretical understanding of the role of religious institutions in contemporary Indonesian democracy. Academically, this study expands the study of the relationship between religion and the state, highlighting fatwas as a form of symbolic power in the architecture of public policy. Practically, the results of this study can be a reference for policy makers in developing a model of religious participation that is constructive, pluralistic, and democratic. This study also contributes to the discourse on the limits and possibilities of religious intervention in a pluralistic public sphere.</w:t>
      </w:r>
    </w:p>
    <w:p w14:paraId="2ABAAC71" w14:textId="77777777" w:rsidR="00516991" w:rsidRPr="006A2448" w:rsidRDefault="00516991" w:rsidP="005F1C0F">
      <w:pPr>
        <w:snapToGrid w:val="0"/>
        <w:spacing w:after="0"/>
        <w:jc w:val="both"/>
        <w:rPr>
          <w:rFonts w:ascii="Garamond" w:hAnsi="Garamond"/>
          <w:b/>
          <w:bCs/>
          <w:sz w:val="24"/>
          <w:szCs w:val="24"/>
          <w:lang w:val="en-ID"/>
        </w:rPr>
      </w:pPr>
    </w:p>
    <w:p w14:paraId="254464B5" w14:textId="77777777" w:rsidR="006A6C13" w:rsidRPr="006A2448" w:rsidRDefault="006A6C13" w:rsidP="006A6C13">
      <w:pPr>
        <w:spacing w:after="0"/>
        <w:jc w:val="both"/>
        <w:rPr>
          <w:rFonts w:ascii="Garamond" w:hAnsi="Garamond" w:cstheme="majorBidi"/>
          <w:b/>
          <w:bCs/>
          <w:sz w:val="24"/>
          <w:szCs w:val="24"/>
          <w:lang w:val="en-ID"/>
        </w:rPr>
      </w:pPr>
      <w:r w:rsidRPr="006A2448">
        <w:rPr>
          <w:rFonts w:ascii="Garamond" w:hAnsi="Garamond" w:cstheme="majorBidi"/>
          <w:b/>
          <w:bCs/>
          <w:sz w:val="24"/>
          <w:szCs w:val="24"/>
          <w:lang w:val="en-ID"/>
        </w:rPr>
        <w:t>THE PROCESS OF FATWA PRODUCTION BY RELIGIOUS INSTITUTIONS IN INDONESIA AND ITS DISTRIBUTION PATTERNS IN THE PUBLIC SPHERE</w:t>
      </w:r>
    </w:p>
    <w:p w14:paraId="4BD83098" w14:textId="77777777" w:rsidR="006A6C13" w:rsidRPr="006A2448" w:rsidRDefault="006A6C13" w:rsidP="00177BE4">
      <w:pPr>
        <w:spacing w:after="0"/>
        <w:jc w:val="both"/>
        <w:rPr>
          <w:rFonts w:ascii="Garamond" w:hAnsi="Garamond" w:cstheme="majorBidi"/>
          <w:sz w:val="24"/>
          <w:szCs w:val="24"/>
          <w:lang w:val="en-ID"/>
        </w:rPr>
      </w:pPr>
      <w:r w:rsidRPr="006A2448">
        <w:rPr>
          <w:rFonts w:ascii="Garamond" w:hAnsi="Garamond" w:cstheme="majorBidi"/>
          <w:sz w:val="24"/>
          <w:szCs w:val="24"/>
          <w:lang w:val="en-ID"/>
        </w:rPr>
        <w:t>The formation of public policy in Indonesia can never be separated from the accompanying religious dynamics. In a predominantly Muslim society, religious institutions play a significant role, not only in guiding social morality but also in influencing the direction of state policy. One of the most tangible forms of intervention by religious institutions is through fatwas, a product of Islamic law that is not legally binding but has very strong symbolic and social power.</w:t>
      </w:r>
      <w:r w:rsidRPr="006A2448">
        <w:rPr>
          <w:rStyle w:val="FootnoteReference"/>
          <w:rFonts w:ascii="Garamond" w:hAnsi="Garamond" w:cstheme="majorBidi"/>
          <w:sz w:val="24"/>
          <w:szCs w:val="24"/>
          <w:lang w:val="en-ID"/>
        </w:rPr>
        <w:footnoteReference w:id="43"/>
      </w:r>
    </w:p>
    <w:p w14:paraId="3FCD23F1" w14:textId="77777777" w:rsidR="006A6C13" w:rsidRPr="006A2448" w:rsidRDefault="006A6C13" w:rsidP="006A6C13">
      <w:pPr>
        <w:spacing w:after="0"/>
        <w:ind w:firstLine="567"/>
        <w:jc w:val="both"/>
        <w:rPr>
          <w:rFonts w:ascii="Garamond" w:hAnsi="Garamond" w:cstheme="majorBidi"/>
          <w:sz w:val="24"/>
          <w:szCs w:val="24"/>
        </w:rPr>
      </w:pPr>
      <w:r w:rsidRPr="006A2448">
        <w:rPr>
          <w:rFonts w:ascii="Garamond" w:hAnsi="Garamond" w:cstheme="majorBidi"/>
          <w:sz w:val="24"/>
          <w:szCs w:val="24"/>
        </w:rPr>
        <w:t>Field findings in three strategic locations in Jakarta, Yogyakarta, and Padang indicate that fatwas are not only produced for the internal needs of Muslims, but are also consulted by state policymakers as a moral basis for the formulation of regulations. This process reflects the existence of an active channel of interaction between religious actors and state institutions in determining the direction of public policy.</w:t>
      </w:r>
    </w:p>
    <w:p w14:paraId="3BE89D88" w14:textId="1C2FED5F" w:rsidR="006A6C13" w:rsidRPr="006A2448" w:rsidRDefault="006A6C13" w:rsidP="006A6C13">
      <w:pPr>
        <w:spacing w:after="0"/>
        <w:ind w:firstLine="567"/>
        <w:jc w:val="both"/>
        <w:rPr>
          <w:rFonts w:ascii="Garamond" w:hAnsi="Garamond" w:cstheme="majorBidi"/>
          <w:sz w:val="24"/>
          <w:szCs w:val="24"/>
        </w:rPr>
      </w:pPr>
      <w:r w:rsidRPr="006A2448">
        <w:rPr>
          <w:rFonts w:ascii="Garamond" w:hAnsi="Garamond" w:cstheme="majorBidi"/>
          <w:sz w:val="24"/>
          <w:szCs w:val="24"/>
        </w:rPr>
        <w:t xml:space="preserve">This analysis shows that the pattern of relations between fatwas and the state can be understood within the framework of </w:t>
      </w:r>
      <w:r w:rsidRPr="006A2448">
        <w:rPr>
          <w:rFonts w:ascii="Garamond" w:hAnsi="Garamond" w:cstheme="majorBidi"/>
          <w:i/>
          <w:iCs/>
          <w:sz w:val="24"/>
          <w:szCs w:val="24"/>
        </w:rPr>
        <w:t xml:space="preserve">policy network </w:t>
      </w:r>
      <w:r w:rsidRPr="006A2448">
        <w:rPr>
          <w:rFonts w:ascii="Garamond" w:hAnsi="Garamond" w:cstheme="majorBidi"/>
          <w:sz w:val="24"/>
          <w:szCs w:val="24"/>
        </w:rPr>
        <w:t xml:space="preserve">theory, in which religious institutions function as nodes of non-formal authority that influence policy through symbolic legitimacy and socio </w:t>
      </w:r>
      <w:r w:rsidRPr="006A2448">
        <w:rPr>
          <w:rFonts w:ascii="Garamond" w:hAnsi="Garamond" w:cstheme="majorBidi"/>
          <w:sz w:val="24"/>
          <w:szCs w:val="24"/>
        </w:rPr>
        <w:lastRenderedPageBreak/>
        <w:t xml:space="preserve">political networks. </w:t>
      </w:r>
      <w:r w:rsidRPr="006A2448">
        <w:rPr>
          <w:rStyle w:val="FootnoteReference"/>
          <w:rFonts w:ascii="Garamond" w:hAnsi="Garamond" w:cstheme="majorBidi"/>
          <w:sz w:val="24"/>
          <w:szCs w:val="24"/>
        </w:rPr>
        <w:footnoteReference w:id="44"/>
      </w:r>
      <w:r w:rsidRPr="006A2448">
        <w:rPr>
          <w:rFonts w:ascii="Garamond" w:hAnsi="Garamond" w:cstheme="majorBidi"/>
          <w:sz w:val="24"/>
          <w:szCs w:val="24"/>
        </w:rPr>
        <w:t xml:space="preserve"> </w:t>
      </w:r>
      <w:r w:rsidRPr="006A2448">
        <w:rPr>
          <w:rStyle w:val="FootnoteReference"/>
          <w:rFonts w:ascii="Garamond" w:hAnsi="Garamond" w:cstheme="majorBidi"/>
          <w:sz w:val="24"/>
          <w:szCs w:val="24"/>
        </w:rPr>
        <w:footnoteReference w:id="45"/>
      </w:r>
      <w:r w:rsidRPr="006A2448">
        <w:rPr>
          <w:rFonts w:ascii="Garamond" w:hAnsi="Garamond" w:cstheme="majorBidi"/>
          <w:sz w:val="24"/>
          <w:szCs w:val="24"/>
        </w:rPr>
        <w:t xml:space="preserve"> Thus, fatwas have not only theological significance, but also concrete political significance in the legislative process.</w:t>
      </w:r>
      <w:r w:rsidRPr="006A2448">
        <w:rPr>
          <w:rStyle w:val="FootnoteReference"/>
          <w:rFonts w:ascii="Garamond" w:hAnsi="Garamond" w:cstheme="majorBidi"/>
          <w:sz w:val="24"/>
          <w:szCs w:val="24"/>
        </w:rPr>
        <w:footnoteReference w:id="46"/>
      </w:r>
    </w:p>
    <w:p w14:paraId="17222810" w14:textId="77777777" w:rsidR="00B57869" w:rsidRPr="006A2448" w:rsidRDefault="00B57869" w:rsidP="006A6C13">
      <w:pPr>
        <w:spacing w:after="0"/>
        <w:ind w:firstLine="567"/>
        <w:jc w:val="both"/>
        <w:rPr>
          <w:rFonts w:ascii="Garamond" w:hAnsi="Garamond" w:cstheme="majorBidi"/>
          <w:sz w:val="24"/>
          <w:szCs w:val="24"/>
        </w:rPr>
      </w:pPr>
    </w:p>
    <w:p w14:paraId="65F04119" w14:textId="77777777" w:rsidR="006A6C13" w:rsidRPr="006A2448" w:rsidRDefault="006A6C13" w:rsidP="006A6C13">
      <w:pPr>
        <w:spacing w:after="0"/>
        <w:jc w:val="center"/>
        <w:rPr>
          <w:rFonts w:ascii="Garamond" w:hAnsi="Garamond" w:cstheme="majorBidi"/>
          <w:sz w:val="24"/>
          <w:szCs w:val="24"/>
        </w:rPr>
      </w:pPr>
      <w:r w:rsidRPr="006A2448">
        <w:rPr>
          <w:rFonts w:ascii="Garamond" w:hAnsi="Garamond" w:cstheme="majorBidi"/>
          <w:b/>
          <w:bCs/>
          <w:sz w:val="24"/>
          <w:szCs w:val="24"/>
          <w:lang w:val="en-ID" w:eastAsia="en-US"/>
        </w:rPr>
        <w:t xml:space="preserve">Table 1. </w:t>
      </w:r>
      <w:r w:rsidRPr="006A2448">
        <w:rPr>
          <w:rFonts w:ascii="Garamond" w:hAnsi="Garamond" w:cstheme="majorBidi"/>
          <w:sz w:val="24"/>
          <w:szCs w:val="24"/>
          <w:lang w:val="en-ID" w:eastAsia="en-US"/>
        </w:rPr>
        <w:t>Level of Public Trust in Fatwas as a Guide for Public Policy</w:t>
      </w:r>
    </w:p>
    <w:p w14:paraId="4CFE3BFD" w14:textId="77777777" w:rsidR="006A6C13" w:rsidRPr="006A2448" w:rsidRDefault="006A6C13" w:rsidP="006A6C13">
      <w:pPr>
        <w:spacing w:after="0"/>
        <w:ind w:firstLine="567"/>
        <w:jc w:val="both"/>
        <w:rPr>
          <w:rFonts w:ascii="Garamond" w:hAnsi="Garamond" w:cstheme="majorBidi"/>
          <w:sz w:val="10"/>
          <w:szCs w:val="10"/>
        </w:rPr>
      </w:pPr>
    </w:p>
    <w:tbl>
      <w:tblPr>
        <w:tblStyle w:val="TableGridLight1"/>
        <w:tblW w:w="9458" w:type="dxa"/>
        <w:tblLook w:val="04A0" w:firstRow="1" w:lastRow="0" w:firstColumn="1" w:lastColumn="0" w:noHBand="0" w:noVBand="1"/>
      </w:tblPr>
      <w:tblGrid>
        <w:gridCol w:w="544"/>
        <w:gridCol w:w="1600"/>
        <w:gridCol w:w="1895"/>
        <w:gridCol w:w="2015"/>
        <w:gridCol w:w="2272"/>
        <w:gridCol w:w="1132"/>
      </w:tblGrid>
      <w:tr w:rsidR="006A2448" w:rsidRPr="006A2448" w14:paraId="1F64248A" w14:textId="77777777" w:rsidTr="006A6C13">
        <w:tc>
          <w:tcPr>
            <w:tcW w:w="382" w:type="dxa"/>
            <w:tcBorders>
              <w:top w:val="single" w:sz="4" w:space="0" w:color="auto"/>
              <w:bottom w:val="single" w:sz="4" w:space="0" w:color="auto"/>
            </w:tcBorders>
            <w:hideMark/>
          </w:tcPr>
          <w:p w14:paraId="505045EE" w14:textId="77777777" w:rsidR="006A6C13" w:rsidRPr="006A2448" w:rsidRDefault="006A6C13" w:rsidP="00661C6D">
            <w:pPr>
              <w:spacing w:after="0"/>
              <w:ind w:left="567" w:hanging="567"/>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No</w:t>
            </w:r>
          </w:p>
        </w:tc>
        <w:tc>
          <w:tcPr>
            <w:tcW w:w="1600" w:type="dxa"/>
            <w:tcBorders>
              <w:top w:val="single" w:sz="4" w:space="0" w:color="auto"/>
              <w:bottom w:val="single" w:sz="4" w:space="0" w:color="auto"/>
            </w:tcBorders>
            <w:hideMark/>
          </w:tcPr>
          <w:p w14:paraId="3297A051" w14:textId="77777777" w:rsidR="006A6C13" w:rsidRPr="006A2448" w:rsidRDefault="006A6C13" w:rsidP="00661C6D">
            <w:pPr>
              <w:spacing w:after="0"/>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Region</w:t>
            </w:r>
          </w:p>
        </w:tc>
        <w:tc>
          <w:tcPr>
            <w:tcW w:w="0" w:type="auto"/>
            <w:tcBorders>
              <w:top w:val="single" w:sz="4" w:space="0" w:color="auto"/>
              <w:bottom w:val="single" w:sz="4" w:space="0" w:color="auto"/>
            </w:tcBorders>
            <w:hideMark/>
          </w:tcPr>
          <w:p w14:paraId="7DEE09A1" w14:textId="77777777" w:rsidR="006A6C13" w:rsidRPr="006A2448" w:rsidRDefault="006A6C13" w:rsidP="00661C6D">
            <w:pPr>
              <w:spacing w:after="0"/>
              <w:ind w:left="-9" w:firstLine="9"/>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Number of Respondents</w:t>
            </w:r>
          </w:p>
        </w:tc>
        <w:tc>
          <w:tcPr>
            <w:tcW w:w="0" w:type="auto"/>
            <w:tcBorders>
              <w:top w:val="single" w:sz="4" w:space="0" w:color="auto"/>
              <w:bottom w:val="single" w:sz="4" w:space="0" w:color="auto"/>
            </w:tcBorders>
            <w:hideMark/>
          </w:tcPr>
          <w:p w14:paraId="2FF46D42" w14:textId="77777777" w:rsidR="006A6C13" w:rsidRPr="006A2448" w:rsidRDefault="006A6C13" w:rsidP="00661C6D">
            <w:pPr>
              <w:spacing w:after="0"/>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Believe Fatwas Influence Policy (%)</w:t>
            </w:r>
          </w:p>
        </w:tc>
        <w:tc>
          <w:tcPr>
            <w:tcW w:w="0" w:type="auto"/>
            <w:tcBorders>
              <w:top w:val="single" w:sz="4" w:space="0" w:color="auto"/>
              <w:bottom w:val="single" w:sz="4" w:space="0" w:color="auto"/>
            </w:tcBorders>
            <w:hideMark/>
          </w:tcPr>
          <w:p w14:paraId="4F105BE9" w14:textId="77777777" w:rsidR="006A6C13" w:rsidRPr="006A2448" w:rsidRDefault="006A6C13" w:rsidP="00661C6D">
            <w:pPr>
              <w:spacing w:after="0"/>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Reject Fatwa as Basis for Regulation (%)</w:t>
            </w:r>
          </w:p>
        </w:tc>
        <w:tc>
          <w:tcPr>
            <w:tcW w:w="0" w:type="auto"/>
            <w:tcBorders>
              <w:top w:val="single" w:sz="4" w:space="0" w:color="auto"/>
              <w:bottom w:val="single" w:sz="4" w:space="0" w:color="auto"/>
            </w:tcBorders>
            <w:hideMark/>
          </w:tcPr>
          <w:p w14:paraId="41A2D8CE" w14:textId="77777777" w:rsidR="006A6C13" w:rsidRPr="006A2448" w:rsidRDefault="006A6C13" w:rsidP="00661C6D">
            <w:pPr>
              <w:spacing w:after="0"/>
              <w:ind w:left="21" w:hanging="21"/>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Neutral (%)</w:t>
            </w:r>
          </w:p>
        </w:tc>
      </w:tr>
      <w:tr w:rsidR="006A2448" w:rsidRPr="006A2448" w14:paraId="63C2380E" w14:textId="77777777" w:rsidTr="006A6C13">
        <w:tc>
          <w:tcPr>
            <w:tcW w:w="382" w:type="dxa"/>
            <w:tcBorders>
              <w:top w:val="single" w:sz="4" w:space="0" w:color="auto"/>
            </w:tcBorders>
            <w:hideMark/>
          </w:tcPr>
          <w:p w14:paraId="5FDA8378"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w:t>
            </w:r>
          </w:p>
        </w:tc>
        <w:tc>
          <w:tcPr>
            <w:tcW w:w="1600" w:type="dxa"/>
            <w:tcBorders>
              <w:top w:val="single" w:sz="4" w:space="0" w:color="auto"/>
            </w:tcBorders>
            <w:hideMark/>
          </w:tcPr>
          <w:p w14:paraId="5CF27B6B" w14:textId="77777777" w:rsidR="006A6C13" w:rsidRPr="006A2448" w:rsidRDefault="006A6C13" w:rsidP="00661C6D">
            <w:pPr>
              <w:spacing w:after="0"/>
              <w:rPr>
                <w:rFonts w:ascii="Garamond" w:hAnsi="Garamond"/>
                <w:sz w:val="24"/>
                <w:szCs w:val="24"/>
                <w:lang w:val="en-ID" w:eastAsia="en-US"/>
              </w:rPr>
            </w:pPr>
            <w:r w:rsidRPr="006A2448">
              <w:rPr>
                <w:rFonts w:ascii="Garamond" w:hAnsi="Garamond"/>
                <w:sz w:val="24"/>
                <w:szCs w:val="24"/>
                <w:lang w:val="en-ID" w:eastAsia="en-US"/>
              </w:rPr>
              <w:t xml:space="preserve"> Jakarta</w:t>
            </w:r>
          </w:p>
        </w:tc>
        <w:tc>
          <w:tcPr>
            <w:tcW w:w="0" w:type="auto"/>
            <w:tcBorders>
              <w:top w:val="single" w:sz="4" w:space="0" w:color="auto"/>
            </w:tcBorders>
            <w:hideMark/>
          </w:tcPr>
          <w:p w14:paraId="5D759621"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100</w:t>
            </w:r>
          </w:p>
        </w:tc>
        <w:tc>
          <w:tcPr>
            <w:tcW w:w="0" w:type="auto"/>
            <w:tcBorders>
              <w:top w:val="single" w:sz="4" w:space="0" w:color="auto"/>
            </w:tcBorders>
            <w:hideMark/>
          </w:tcPr>
          <w:p w14:paraId="030D5D2A"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62</w:t>
            </w:r>
          </w:p>
        </w:tc>
        <w:tc>
          <w:tcPr>
            <w:tcW w:w="0" w:type="auto"/>
            <w:tcBorders>
              <w:top w:val="single" w:sz="4" w:space="0" w:color="auto"/>
            </w:tcBorders>
            <w:hideMark/>
          </w:tcPr>
          <w:p w14:paraId="32BBBA53"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24</w:t>
            </w:r>
          </w:p>
        </w:tc>
        <w:tc>
          <w:tcPr>
            <w:tcW w:w="0" w:type="auto"/>
            <w:tcBorders>
              <w:top w:val="single" w:sz="4" w:space="0" w:color="auto"/>
            </w:tcBorders>
            <w:hideMark/>
          </w:tcPr>
          <w:p w14:paraId="66E7C01E"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14</w:t>
            </w:r>
          </w:p>
        </w:tc>
      </w:tr>
      <w:tr w:rsidR="006A2448" w:rsidRPr="006A2448" w14:paraId="2196E1C5" w14:textId="77777777" w:rsidTr="006A6C13">
        <w:tc>
          <w:tcPr>
            <w:tcW w:w="382" w:type="dxa"/>
            <w:hideMark/>
          </w:tcPr>
          <w:p w14:paraId="2CED6646"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2</w:t>
            </w:r>
          </w:p>
        </w:tc>
        <w:tc>
          <w:tcPr>
            <w:tcW w:w="1600" w:type="dxa"/>
            <w:hideMark/>
          </w:tcPr>
          <w:p w14:paraId="2A796891" w14:textId="77777777" w:rsidR="006A6C13" w:rsidRPr="006A2448" w:rsidRDefault="006A6C13" w:rsidP="00661C6D">
            <w:pPr>
              <w:spacing w:after="0"/>
              <w:ind w:left="567" w:hanging="567"/>
              <w:jc w:val="both"/>
              <w:rPr>
                <w:rFonts w:ascii="Garamond" w:hAnsi="Garamond"/>
                <w:sz w:val="24"/>
                <w:szCs w:val="24"/>
                <w:lang w:val="en-ID" w:eastAsia="en-US"/>
              </w:rPr>
            </w:pPr>
            <w:r w:rsidRPr="006A2448">
              <w:rPr>
                <w:rFonts w:ascii="Garamond" w:hAnsi="Garamond"/>
                <w:sz w:val="24"/>
                <w:szCs w:val="24"/>
                <w:lang w:val="en-ID" w:eastAsia="en-US"/>
              </w:rPr>
              <w:t xml:space="preserve"> Yogyakarta</w:t>
            </w:r>
          </w:p>
        </w:tc>
        <w:tc>
          <w:tcPr>
            <w:tcW w:w="0" w:type="auto"/>
            <w:hideMark/>
          </w:tcPr>
          <w:p w14:paraId="0EAD540D"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100</w:t>
            </w:r>
          </w:p>
        </w:tc>
        <w:tc>
          <w:tcPr>
            <w:tcW w:w="0" w:type="auto"/>
            <w:hideMark/>
          </w:tcPr>
          <w:p w14:paraId="2A7E343E"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49</w:t>
            </w:r>
          </w:p>
        </w:tc>
        <w:tc>
          <w:tcPr>
            <w:tcW w:w="0" w:type="auto"/>
            <w:hideMark/>
          </w:tcPr>
          <w:p w14:paraId="46A6E6DF"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36</w:t>
            </w:r>
          </w:p>
        </w:tc>
        <w:tc>
          <w:tcPr>
            <w:tcW w:w="0" w:type="auto"/>
            <w:hideMark/>
          </w:tcPr>
          <w:p w14:paraId="0BF3C345"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15</w:t>
            </w:r>
          </w:p>
        </w:tc>
      </w:tr>
      <w:tr w:rsidR="006A2448" w:rsidRPr="006A2448" w14:paraId="14999995" w14:textId="77777777" w:rsidTr="006A6C13">
        <w:tc>
          <w:tcPr>
            <w:tcW w:w="382" w:type="dxa"/>
            <w:tcBorders>
              <w:bottom w:val="single" w:sz="4" w:space="0" w:color="BFBFBF" w:themeColor="background1" w:themeShade="BF"/>
            </w:tcBorders>
            <w:hideMark/>
          </w:tcPr>
          <w:p w14:paraId="346002C8"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3</w:t>
            </w:r>
          </w:p>
        </w:tc>
        <w:tc>
          <w:tcPr>
            <w:tcW w:w="1600" w:type="dxa"/>
            <w:tcBorders>
              <w:bottom w:val="single" w:sz="4" w:space="0" w:color="BFBFBF" w:themeColor="background1" w:themeShade="BF"/>
            </w:tcBorders>
            <w:hideMark/>
          </w:tcPr>
          <w:p w14:paraId="62577FAE" w14:textId="77777777" w:rsidR="006A6C13" w:rsidRPr="006A2448" w:rsidRDefault="006A6C13" w:rsidP="00661C6D">
            <w:pPr>
              <w:spacing w:after="0"/>
              <w:ind w:left="567" w:hanging="567"/>
              <w:jc w:val="both"/>
              <w:rPr>
                <w:rFonts w:ascii="Garamond" w:hAnsi="Garamond"/>
                <w:sz w:val="24"/>
                <w:szCs w:val="24"/>
                <w:lang w:val="en-ID" w:eastAsia="en-US"/>
              </w:rPr>
            </w:pPr>
            <w:r w:rsidRPr="006A2448">
              <w:rPr>
                <w:rFonts w:ascii="Garamond" w:hAnsi="Garamond"/>
                <w:sz w:val="24"/>
                <w:szCs w:val="24"/>
                <w:lang w:val="en-ID" w:eastAsia="en-US"/>
              </w:rPr>
              <w:t xml:space="preserve"> Padang</w:t>
            </w:r>
          </w:p>
        </w:tc>
        <w:tc>
          <w:tcPr>
            <w:tcW w:w="0" w:type="auto"/>
            <w:tcBorders>
              <w:bottom w:val="single" w:sz="4" w:space="0" w:color="BFBFBF" w:themeColor="background1" w:themeShade="BF"/>
            </w:tcBorders>
            <w:hideMark/>
          </w:tcPr>
          <w:p w14:paraId="51CA2BEC"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100</w:t>
            </w:r>
          </w:p>
        </w:tc>
        <w:tc>
          <w:tcPr>
            <w:tcW w:w="0" w:type="auto"/>
            <w:tcBorders>
              <w:bottom w:val="single" w:sz="4" w:space="0" w:color="BFBFBF" w:themeColor="background1" w:themeShade="BF"/>
            </w:tcBorders>
            <w:hideMark/>
          </w:tcPr>
          <w:p w14:paraId="5403E449"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70</w:t>
            </w:r>
          </w:p>
        </w:tc>
        <w:tc>
          <w:tcPr>
            <w:tcW w:w="0" w:type="auto"/>
            <w:tcBorders>
              <w:bottom w:val="single" w:sz="4" w:space="0" w:color="BFBFBF" w:themeColor="background1" w:themeShade="BF"/>
            </w:tcBorders>
            <w:hideMark/>
          </w:tcPr>
          <w:p w14:paraId="34599F69"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18</w:t>
            </w:r>
          </w:p>
        </w:tc>
        <w:tc>
          <w:tcPr>
            <w:tcW w:w="0" w:type="auto"/>
            <w:tcBorders>
              <w:bottom w:val="single" w:sz="4" w:space="0" w:color="BFBFBF" w:themeColor="background1" w:themeShade="BF"/>
            </w:tcBorders>
            <w:hideMark/>
          </w:tcPr>
          <w:p w14:paraId="6D453F48"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12</w:t>
            </w:r>
          </w:p>
        </w:tc>
      </w:tr>
      <w:tr w:rsidR="006A6C13" w:rsidRPr="006A2448" w14:paraId="73F81647" w14:textId="77777777" w:rsidTr="006A6C13">
        <w:tc>
          <w:tcPr>
            <w:tcW w:w="382" w:type="dxa"/>
            <w:tcBorders>
              <w:bottom w:val="single" w:sz="4" w:space="0" w:color="auto"/>
            </w:tcBorders>
            <w:hideMark/>
          </w:tcPr>
          <w:p w14:paraId="63A5964F" w14:textId="77777777" w:rsidR="006A6C13" w:rsidRPr="006A2448" w:rsidRDefault="006A6C13" w:rsidP="00661C6D">
            <w:pPr>
              <w:spacing w:after="0"/>
              <w:ind w:left="567" w:hanging="567"/>
              <w:jc w:val="center"/>
              <w:rPr>
                <w:rFonts w:ascii="Garamond" w:hAnsi="Garamond"/>
                <w:sz w:val="24"/>
                <w:szCs w:val="24"/>
                <w:lang w:val="en-ID" w:eastAsia="en-US"/>
              </w:rPr>
            </w:pPr>
          </w:p>
        </w:tc>
        <w:tc>
          <w:tcPr>
            <w:tcW w:w="1600" w:type="dxa"/>
            <w:tcBorders>
              <w:bottom w:val="single" w:sz="4" w:space="0" w:color="auto"/>
            </w:tcBorders>
            <w:hideMark/>
          </w:tcPr>
          <w:p w14:paraId="628442D8" w14:textId="77777777" w:rsidR="006A6C13" w:rsidRPr="006A2448" w:rsidRDefault="006A6C13" w:rsidP="00661C6D">
            <w:pPr>
              <w:spacing w:after="0"/>
              <w:ind w:left="567" w:hanging="567"/>
              <w:jc w:val="both"/>
              <w:rPr>
                <w:rFonts w:ascii="Garamond" w:hAnsi="Garamond"/>
                <w:sz w:val="24"/>
                <w:szCs w:val="24"/>
                <w:lang w:val="en-ID" w:eastAsia="en-US"/>
              </w:rPr>
            </w:pPr>
            <w:r w:rsidRPr="006A2448">
              <w:rPr>
                <w:rFonts w:ascii="Garamond" w:hAnsi="Garamond"/>
                <w:b/>
                <w:bCs/>
                <w:sz w:val="24"/>
                <w:szCs w:val="24"/>
                <w:lang w:val="en-ID" w:eastAsia="en-US"/>
              </w:rPr>
              <w:t xml:space="preserve"> Average</w:t>
            </w:r>
          </w:p>
        </w:tc>
        <w:tc>
          <w:tcPr>
            <w:tcW w:w="0" w:type="auto"/>
            <w:tcBorders>
              <w:bottom w:val="single" w:sz="4" w:space="0" w:color="auto"/>
            </w:tcBorders>
            <w:hideMark/>
          </w:tcPr>
          <w:p w14:paraId="070532C3"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sz w:val="24"/>
                <w:szCs w:val="24"/>
                <w:lang w:val="en-ID" w:eastAsia="en-US"/>
              </w:rPr>
              <w:t>—</w:t>
            </w:r>
          </w:p>
        </w:tc>
        <w:tc>
          <w:tcPr>
            <w:tcW w:w="0" w:type="auto"/>
            <w:tcBorders>
              <w:bottom w:val="single" w:sz="4" w:space="0" w:color="auto"/>
            </w:tcBorders>
            <w:hideMark/>
          </w:tcPr>
          <w:p w14:paraId="6D791198"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b/>
                <w:bCs/>
                <w:sz w:val="24"/>
                <w:szCs w:val="24"/>
                <w:lang w:val="en-ID" w:eastAsia="en-US"/>
              </w:rPr>
              <w:t>60.3</w:t>
            </w:r>
          </w:p>
        </w:tc>
        <w:tc>
          <w:tcPr>
            <w:tcW w:w="0" w:type="auto"/>
            <w:tcBorders>
              <w:bottom w:val="single" w:sz="4" w:space="0" w:color="auto"/>
            </w:tcBorders>
            <w:hideMark/>
          </w:tcPr>
          <w:p w14:paraId="58A4DB3E"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b/>
                <w:bCs/>
                <w:sz w:val="24"/>
                <w:szCs w:val="24"/>
                <w:lang w:val="en-ID" w:eastAsia="en-US"/>
              </w:rPr>
              <w:t>26</w:t>
            </w:r>
          </w:p>
        </w:tc>
        <w:tc>
          <w:tcPr>
            <w:tcW w:w="0" w:type="auto"/>
            <w:tcBorders>
              <w:bottom w:val="single" w:sz="4" w:space="0" w:color="auto"/>
            </w:tcBorders>
            <w:hideMark/>
          </w:tcPr>
          <w:p w14:paraId="477BD06F" w14:textId="77777777" w:rsidR="006A6C13" w:rsidRPr="006A2448" w:rsidRDefault="006A6C13" w:rsidP="00661C6D">
            <w:pPr>
              <w:spacing w:after="0"/>
              <w:ind w:left="567" w:hanging="567"/>
              <w:jc w:val="center"/>
              <w:rPr>
                <w:rFonts w:ascii="Garamond" w:hAnsi="Garamond"/>
                <w:sz w:val="24"/>
                <w:szCs w:val="24"/>
                <w:lang w:val="en-ID" w:eastAsia="en-US"/>
              </w:rPr>
            </w:pPr>
            <w:r w:rsidRPr="006A2448">
              <w:rPr>
                <w:rFonts w:ascii="Garamond" w:hAnsi="Garamond"/>
                <w:b/>
                <w:bCs/>
                <w:sz w:val="24"/>
                <w:szCs w:val="24"/>
                <w:lang w:val="en-ID" w:eastAsia="en-US"/>
              </w:rPr>
              <w:t>13.7</w:t>
            </w:r>
          </w:p>
        </w:tc>
      </w:tr>
    </w:tbl>
    <w:p w14:paraId="02BD4F27" w14:textId="77777777" w:rsidR="006A6C13" w:rsidRPr="006A2448" w:rsidRDefault="006A6C13" w:rsidP="006A6C13">
      <w:pPr>
        <w:spacing w:after="0"/>
        <w:ind w:firstLine="567"/>
        <w:jc w:val="both"/>
        <w:rPr>
          <w:rFonts w:ascii="Garamond" w:hAnsi="Garamond" w:cstheme="majorBidi"/>
          <w:sz w:val="24"/>
          <w:szCs w:val="24"/>
          <w:lang w:eastAsia="en-US"/>
        </w:rPr>
      </w:pPr>
    </w:p>
    <w:p w14:paraId="0F7B8779" w14:textId="49EF7737" w:rsidR="006A6C13" w:rsidRPr="006A2448" w:rsidRDefault="006A6C13" w:rsidP="006A6C13">
      <w:pPr>
        <w:spacing w:after="0"/>
        <w:ind w:firstLine="567"/>
        <w:jc w:val="both"/>
        <w:rPr>
          <w:rFonts w:ascii="Garamond" w:hAnsi="Garamond" w:cstheme="majorBidi"/>
          <w:sz w:val="24"/>
          <w:szCs w:val="24"/>
        </w:rPr>
      </w:pPr>
      <w:r w:rsidRPr="006A2448">
        <w:rPr>
          <w:rFonts w:ascii="Garamond" w:hAnsi="Garamond" w:cstheme="majorBidi"/>
          <w:sz w:val="24"/>
          <w:szCs w:val="24"/>
          <w:lang w:eastAsia="en-US"/>
        </w:rPr>
        <w:t xml:space="preserve">Table 1 shows that </w:t>
      </w:r>
      <w:r w:rsidRPr="006A2448">
        <w:rPr>
          <w:rFonts w:ascii="Garamond" w:hAnsi="Garamond" w:cstheme="majorBidi"/>
          <w:sz w:val="24"/>
          <w:szCs w:val="24"/>
          <w:lang w:val="en-ID" w:eastAsia="en-US"/>
        </w:rPr>
        <w:t>on average more than 60% of respondents stated that they trust fatwas as a moral reference in public policy. However, nearly 26% reject fatwas as a basis for binding regulations, especially in regions with a tradition of pluralism such as Yogyakarta.</w:t>
      </w:r>
    </w:p>
    <w:p w14:paraId="1108F32B"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rPr>
        <w:t>The MUI fatwa on the prohibition of smoking has become a normative reference for the creation of smoke-free policies in various regions</w:t>
      </w:r>
      <w:r w:rsidRPr="006A2448">
        <w:rPr>
          <w:rFonts w:ascii="Garamond" w:hAnsi="Garamond" w:cstheme="majorBidi"/>
          <w:sz w:val="24"/>
          <w:szCs w:val="24"/>
          <w:lang w:val="en-ID"/>
        </w:rPr>
        <w:t xml:space="preserve">. </w:t>
      </w:r>
      <w:r w:rsidRPr="006A2448">
        <w:rPr>
          <w:rFonts w:ascii="Garamond" w:hAnsi="Garamond" w:cstheme="majorBidi"/>
          <w:sz w:val="24"/>
          <w:szCs w:val="24"/>
        </w:rPr>
        <w:t>Meanwhile, fatwas related to halal products, which were originally moral appeals, have now been institutionalized in Law No. 33 of 2014 concerning Halal Product Guarantees.</w:t>
      </w:r>
      <w:r w:rsidRPr="006A2448">
        <w:rPr>
          <w:rStyle w:val="FootnoteReference"/>
          <w:rFonts w:ascii="Garamond" w:hAnsi="Garamond" w:cstheme="majorBidi"/>
          <w:sz w:val="24"/>
          <w:szCs w:val="24"/>
        </w:rPr>
        <w:footnoteReference w:id="47"/>
      </w:r>
      <w:r w:rsidRPr="006A2448">
        <w:rPr>
          <w:rFonts w:ascii="Garamond" w:hAnsi="Garamond" w:cstheme="majorBidi"/>
          <w:sz w:val="24"/>
          <w:szCs w:val="24"/>
        </w:rPr>
        <w:t xml:space="preserve"> Another case, such as the fatwa on </w:t>
      </w:r>
      <w:proofErr w:type="spellStart"/>
      <w:r w:rsidRPr="006A2448">
        <w:rPr>
          <w:rFonts w:ascii="Garamond" w:hAnsi="Garamond" w:cstheme="majorBidi"/>
          <w:sz w:val="24"/>
          <w:szCs w:val="24"/>
        </w:rPr>
        <w:t>Ahmadiyah</w:t>
      </w:r>
      <w:proofErr w:type="spellEnd"/>
      <w:r w:rsidRPr="006A2448">
        <w:rPr>
          <w:rFonts w:ascii="Garamond" w:hAnsi="Garamond" w:cstheme="majorBidi"/>
          <w:sz w:val="24"/>
          <w:szCs w:val="24"/>
        </w:rPr>
        <w:t>, shows how religious authorities have helped shape policy through the 2008 Joint Decree of Three Ministers.</w:t>
      </w:r>
      <w:r w:rsidRPr="006A2448">
        <w:rPr>
          <w:rStyle w:val="FootnoteReference"/>
          <w:rFonts w:ascii="Garamond" w:hAnsi="Garamond" w:cstheme="majorBidi"/>
          <w:sz w:val="24"/>
          <w:szCs w:val="24"/>
          <w:lang w:val="en-ID"/>
        </w:rPr>
        <w:footnoteReference w:id="48"/>
      </w:r>
    </w:p>
    <w:p w14:paraId="1F6573AB" w14:textId="77777777" w:rsidR="006A6C13" w:rsidRPr="006A2448" w:rsidRDefault="006A6C13" w:rsidP="006A6C13">
      <w:pPr>
        <w:spacing w:after="0"/>
        <w:ind w:firstLine="567"/>
        <w:jc w:val="both"/>
        <w:rPr>
          <w:rFonts w:ascii="Garamond" w:hAnsi="Garamond" w:cstheme="majorBidi"/>
          <w:sz w:val="24"/>
          <w:szCs w:val="24"/>
        </w:rPr>
      </w:pPr>
      <w:r w:rsidRPr="006A2448">
        <w:rPr>
          <w:rFonts w:ascii="Garamond" w:hAnsi="Garamond" w:cstheme="majorBidi"/>
          <w:sz w:val="24"/>
          <w:szCs w:val="24"/>
        </w:rPr>
        <w:t>An in-depth analysis is needed to assess the ambivalent impact of fatwas. On the one hand, fatwas encourage the creation of progressive policies, such as the strengthening of halal regulations.</w:t>
      </w:r>
      <w:r w:rsidRPr="006A2448">
        <w:rPr>
          <w:rStyle w:val="FootnoteReference"/>
          <w:rFonts w:ascii="Garamond" w:hAnsi="Garamond" w:cstheme="majorBidi"/>
          <w:sz w:val="24"/>
          <w:szCs w:val="24"/>
        </w:rPr>
        <w:footnoteReference w:id="49"/>
      </w:r>
      <w:r w:rsidRPr="006A2448">
        <w:rPr>
          <w:rFonts w:ascii="Garamond" w:hAnsi="Garamond" w:cstheme="majorBidi"/>
          <w:sz w:val="24"/>
          <w:szCs w:val="24"/>
        </w:rPr>
        <w:t xml:space="preserve"> On the other hand, fatwas also have the potential to lead to discriminatory policies against minority groups, as seen in the case of </w:t>
      </w:r>
      <w:proofErr w:type="spellStart"/>
      <w:r w:rsidRPr="006A2448">
        <w:rPr>
          <w:rFonts w:ascii="Garamond" w:hAnsi="Garamond" w:cstheme="majorBidi"/>
          <w:sz w:val="24"/>
          <w:szCs w:val="24"/>
        </w:rPr>
        <w:t>Ahmadiyah</w:t>
      </w:r>
      <w:proofErr w:type="spellEnd"/>
      <w:r w:rsidRPr="006A2448">
        <w:rPr>
          <w:rFonts w:ascii="Garamond" w:hAnsi="Garamond" w:cstheme="majorBidi"/>
          <w:sz w:val="24"/>
          <w:szCs w:val="24"/>
        </w:rPr>
        <w:t>.</w:t>
      </w:r>
      <w:r w:rsidRPr="006A2448">
        <w:rPr>
          <w:rStyle w:val="FootnoteReference"/>
          <w:rFonts w:ascii="Garamond" w:hAnsi="Garamond" w:cstheme="majorBidi"/>
          <w:sz w:val="24"/>
          <w:szCs w:val="24"/>
        </w:rPr>
        <w:footnoteReference w:id="50"/>
      </w:r>
      <w:r w:rsidRPr="006A2448">
        <w:rPr>
          <w:rFonts w:ascii="Garamond" w:hAnsi="Garamond" w:cstheme="majorBidi"/>
          <w:sz w:val="24"/>
          <w:szCs w:val="24"/>
        </w:rPr>
        <w:t xml:space="preserve"> Thus, fatwas play a dual role: as a moral instrument for the public interest and as a tool of political legitimacy that can reinforce conservatism.</w:t>
      </w:r>
    </w:p>
    <w:p w14:paraId="12131FB2"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rPr>
        <w:t xml:space="preserve">The choice to focus this research on MUI, NU, and Muhammadiyah is not without reason. These three institutions are the largest and most influential religious organizations in Indonesia, both in terms of the number of followers and institutional capacity. The MUI has formal authority in issuing fatwas that are recognized by the state, while NU and Muhammadiyah have </w:t>
      </w:r>
      <w:r w:rsidRPr="006A2448">
        <w:rPr>
          <w:rFonts w:ascii="Garamond" w:hAnsi="Garamond" w:cstheme="majorBidi"/>
          <w:sz w:val="24"/>
          <w:szCs w:val="24"/>
        </w:rPr>
        <w:lastRenderedPageBreak/>
        <w:t>well-established institutional structures and extensive socio-political networks.</w:t>
      </w:r>
      <w:r w:rsidRPr="006A2448">
        <w:rPr>
          <w:rStyle w:val="FootnoteReference"/>
          <w:rFonts w:ascii="Garamond" w:hAnsi="Garamond" w:cstheme="majorBidi"/>
          <w:sz w:val="24"/>
          <w:szCs w:val="24"/>
        </w:rPr>
        <w:footnoteReference w:id="51"/>
      </w:r>
      <w:r w:rsidRPr="006A2448">
        <w:rPr>
          <w:rFonts w:ascii="Garamond" w:hAnsi="Garamond" w:cstheme="majorBidi"/>
          <w:sz w:val="24"/>
          <w:szCs w:val="24"/>
        </w:rPr>
        <w:t xml:space="preserve"> Other religious institutions such as Persis, Al-</w:t>
      </w:r>
      <w:proofErr w:type="spellStart"/>
      <w:r w:rsidRPr="006A2448">
        <w:rPr>
          <w:rFonts w:ascii="Garamond" w:hAnsi="Garamond" w:cstheme="majorBidi"/>
          <w:sz w:val="24"/>
          <w:szCs w:val="24"/>
        </w:rPr>
        <w:t>Washliyah</w:t>
      </w:r>
      <w:proofErr w:type="spellEnd"/>
      <w:r w:rsidRPr="006A2448">
        <w:rPr>
          <w:rFonts w:ascii="Garamond" w:hAnsi="Garamond" w:cstheme="majorBidi"/>
          <w:sz w:val="24"/>
          <w:szCs w:val="24"/>
        </w:rPr>
        <w:t>, or LDII do play a role, but their influence on public policy is relatively limited. Therefore, this study focuses on the three main actors that are empirically most relevant.</w:t>
      </w:r>
    </w:p>
    <w:p w14:paraId="02B3A877"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To strengthen the analysis, the following is a summary of data representing the relationship between fatwas and public policy:</w:t>
      </w:r>
    </w:p>
    <w:p w14:paraId="65D74EBC" w14:textId="77777777" w:rsidR="00B57869" w:rsidRPr="006A2448" w:rsidRDefault="00B57869" w:rsidP="006A6C13">
      <w:pPr>
        <w:spacing w:after="0"/>
        <w:ind w:firstLine="567"/>
        <w:jc w:val="both"/>
        <w:rPr>
          <w:rFonts w:ascii="Garamond" w:hAnsi="Garamond" w:cstheme="majorBidi"/>
          <w:sz w:val="24"/>
          <w:szCs w:val="24"/>
          <w:lang w:val="en-ID"/>
        </w:rPr>
      </w:pPr>
    </w:p>
    <w:p w14:paraId="3008F3A6" w14:textId="77777777" w:rsidR="00B57869" w:rsidRPr="006A2448" w:rsidRDefault="00B57869" w:rsidP="006A6C13">
      <w:pPr>
        <w:spacing w:after="0"/>
        <w:ind w:firstLine="567"/>
        <w:jc w:val="both"/>
        <w:rPr>
          <w:rFonts w:ascii="Garamond" w:hAnsi="Garamond" w:cstheme="majorBidi"/>
          <w:sz w:val="24"/>
          <w:szCs w:val="24"/>
          <w:lang w:val="en-ID"/>
        </w:rPr>
      </w:pPr>
    </w:p>
    <w:p w14:paraId="41528491" w14:textId="77777777" w:rsidR="006A6C13" w:rsidRPr="006A2448" w:rsidRDefault="006A6C13" w:rsidP="006A6C13">
      <w:pPr>
        <w:spacing w:after="0"/>
        <w:ind w:firstLine="567"/>
        <w:jc w:val="both"/>
        <w:rPr>
          <w:rFonts w:ascii="Garamond" w:hAnsi="Garamond" w:cstheme="majorBidi"/>
          <w:sz w:val="6"/>
          <w:szCs w:val="6"/>
          <w:lang w:val="en-ID"/>
        </w:rPr>
      </w:pPr>
    </w:p>
    <w:p w14:paraId="15B49662" w14:textId="77777777" w:rsidR="006A6C13" w:rsidRPr="006A2448" w:rsidRDefault="006A6C13" w:rsidP="006A6C13">
      <w:pPr>
        <w:spacing w:after="0"/>
        <w:jc w:val="center"/>
        <w:rPr>
          <w:rFonts w:ascii="Garamond" w:hAnsi="Garamond" w:cstheme="majorBidi"/>
          <w:b/>
          <w:bCs/>
          <w:sz w:val="24"/>
          <w:szCs w:val="24"/>
          <w:lang w:val="en-ID"/>
        </w:rPr>
      </w:pPr>
      <w:r w:rsidRPr="006A2448">
        <w:rPr>
          <w:rFonts w:ascii="Garamond" w:hAnsi="Garamond" w:cstheme="majorBidi"/>
          <w:b/>
          <w:bCs/>
          <w:sz w:val="24"/>
          <w:szCs w:val="24"/>
          <w:lang w:val="en-ID"/>
        </w:rPr>
        <w:t xml:space="preserve">Table 2. </w:t>
      </w:r>
      <w:r w:rsidRPr="006A2448">
        <w:rPr>
          <w:rFonts w:ascii="Garamond" w:hAnsi="Garamond" w:cstheme="majorBidi"/>
          <w:sz w:val="24"/>
          <w:szCs w:val="24"/>
          <w:lang w:val="en-ID"/>
        </w:rPr>
        <w:t>The Relationship between Fatwas and Public Policy</w:t>
      </w:r>
    </w:p>
    <w:p w14:paraId="4BF9E0B4" w14:textId="77777777" w:rsidR="006A6C13" w:rsidRPr="006A2448" w:rsidRDefault="006A6C13" w:rsidP="006A6C13">
      <w:pPr>
        <w:spacing w:after="0"/>
        <w:jc w:val="both"/>
        <w:rPr>
          <w:rFonts w:ascii="Garamond" w:hAnsi="Garamond" w:cstheme="majorBidi"/>
          <w:b/>
          <w:bCs/>
          <w:sz w:val="12"/>
          <w:szCs w:val="12"/>
          <w:lang w:val="en-ID"/>
        </w:rPr>
      </w:pPr>
    </w:p>
    <w:tbl>
      <w:tblPr>
        <w:tblStyle w:val="TableGridLight1"/>
        <w:tblW w:w="9133" w:type="dxa"/>
        <w:tblLook w:val="04A0" w:firstRow="1" w:lastRow="0" w:firstColumn="1" w:lastColumn="0" w:noHBand="0" w:noVBand="1"/>
      </w:tblPr>
      <w:tblGrid>
        <w:gridCol w:w="544"/>
        <w:gridCol w:w="2576"/>
        <w:gridCol w:w="2216"/>
        <w:gridCol w:w="3797"/>
      </w:tblGrid>
      <w:tr w:rsidR="006A2448" w:rsidRPr="006A2448" w14:paraId="5A94B623" w14:textId="77777777" w:rsidTr="006A6C13">
        <w:tc>
          <w:tcPr>
            <w:tcW w:w="522" w:type="dxa"/>
            <w:tcBorders>
              <w:top w:val="single" w:sz="4" w:space="0" w:color="auto"/>
              <w:bottom w:val="single" w:sz="4" w:space="0" w:color="auto"/>
            </w:tcBorders>
            <w:hideMark/>
          </w:tcPr>
          <w:p w14:paraId="4C2E2E95" w14:textId="77777777" w:rsidR="006A6C13" w:rsidRPr="006A2448" w:rsidRDefault="006A6C13" w:rsidP="00661C6D">
            <w:pPr>
              <w:spacing w:after="0"/>
              <w:jc w:val="center"/>
              <w:rPr>
                <w:rFonts w:ascii="Garamond" w:hAnsi="Garamond" w:cstheme="majorBidi"/>
                <w:b/>
                <w:bCs/>
                <w:sz w:val="24"/>
                <w:szCs w:val="24"/>
                <w:lang w:val="en-ID"/>
              </w:rPr>
            </w:pPr>
            <w:r w:rsidRPr="006A2448">
              <w:rPr>
                <w:rFonts w:ascii="Garamond" w:hAnsi="Garamond" w:cstheme="majorBidi"/>
                <w:b/>
                <w:bCs/>
                <w:sz w:val="24"/>
                <w:szCs w:val="24"/>
                <w:lang w:val="en-ID"/>
              </w:rPr>
              <w:t>No</w:t>
            </w:r>
          </w:p>
        </w:tc>
        <w:tc>
          <w:tcPr>
            <w:tcW w:w="0" w:type="auto"/>
            <w:tcBorders>
              <w:top w:val="single" w:sz="4" w:space="0" w:color="auto"/>
              <w:bottom w:val="single" w:sz="4" w:space="0" w:color="auto"/>
            </w:tcBorders>
            <w:hideMark/>
          </w:tcPr>
          <w:p w14:paraId="22BDF820" w14:textId="77777777" w:rsidR="006A6C13" w:rsidRPr="006A2448" w:rsidRDefault="006A6C13" w:rsidP="00661C6D">
            <w:pPr>
              <w:spacing w:after="0"/>
              <w:ind w:firstLine="33"/>
              <w:jc w:val="center"/>
              <w:rPr>
                <w:rFonts w:ascii="Garamond" w:hAnsi="Garamond" w:cstheme="majorBidi"/>
                <w:b/>
                <w:bCs/>
                <w:sz w:val="24"/>
                <w:szCs w:val="24"/>
                <w:lang w:val="en-ID"/>
              </w:rPr>
            </w:pPr>
            <w:r w:rsidRPr="006A2448">
              <w:rPr>
                <w:rFonts w:ascii="Garamond" w:hAnsi="Garamond" w:cstheme="majorBidi"/>
                <w:b/>
                <w:bCs/>
                <w:sz w:val="24"/>
                <w:szCs w:val="24"/>
                <w:lang w:val="en-ID"/>
              </w:rPr>
              <w:t>Religious Institution</w:t>
            </w:r>
          </w:p>
        </w:tc>
        <w:tc>
          <w:tcPr>
            <w:tcW w:w="2216" w:type="dxa"/>
            <w:tcBorders>
              <w:top w:val="single" w:sz="4" w:space="0" w:color="auto"/>
              <w:bottom w:val="single" w:sz="4" w:space="0" w:color="auto"/>
            </w:tcBorders>
            <w:hideMark/>
          </w:tcPr>
          <w:p w14:paraId="6CE4AFF9" w14:textId="77777777" w:rsidR="006A6C13" w:rsidRPr="006A2448" w:rsidRDefault="006A6C13" w:rsidP="00661C6D">
            <w:pPr>
              <w:spacing w:after="0"/>
              <w:ind w:firstLine="26"/>
              <w:jc w:val="center"/>
              <w:rPr>
                <w:rFonts w:ascii="Garamond" w:hAnsi="Garamond" w:cstheme="majorBidi"/>
                <w:b/>
                <w:bCs/>
                <w:sz w:val="24"/>
                <w:szCs w:val="24"/>
                <w:lang w:val="en-ID"/>
              </w:rPr>
            </w:pPr>
            <w:r w:rsidRPr="006A2448">
              <w:rPr>
                <w:rFonts w:ascii="Garamond" w:hAnsi="Garamond" w:cstheme="majorBidi"/>
                <w:b/>
                <w:bCs/>
                <w:sz w:val="24"/>
                <w:szCs w:val="24"/>
                <w:lang w:val="en-ID"/>
              </w:rPr>
              <w:t>Type of Fatwa</w:t>
            </w:r>
          </w:p>
        </w:tc>
        <w:tc>
          <w:tcPr>
            <w:tcW w:w="0" w:type="auto"/>
            <w:tcBorders>
              <w:top w:val="single" w:sz="4" w:space="0" w:color="auto"/>
              <w:bottom w:val="single" w:sz="4" w:space="0" w:color="auto"/>
            </w:tcBorders>
            <w:hideMark/>
          </w:tcPr>
          <w:p w14:paraId="1C3FE72F" w14:textId="77777777" w:rsidR="006A6C13" w:rsidRPr="006A2448" w:rsidRDefault="006A6C13" w:rsidP="00661C6D">
            <w:pPr>
              <w:spacing w:after="0"/>
              <w:ind w:firstLine="567"/>
              <w:rPr>
                <w:rFonts w:ascii="Garamond" w:hAnsi="Garamond" w:cstheme="majorBidi"/>
                <w:b/>
                <w:bCs/>
                <w:sz w:val="24"/>
                <w:szCs w:val="24"/>
                <w:lang w:val="en-ID"/>
              </w:rPr>
            </w:pPr>
            <w:r w:rsidRPr="006A2448">
              <w:rPr>
                <w:rFonts w:ascii="Garamond" w:hAnsi="Garamond" w:cstheme="majorBidi"/>
                <w:b/>
                <w:bCs/>
                <w:sz w:val="24"/>
                <w:szCs w:val="24"/>
                <w:lang w:val="en-ID"/>
              </w:rPr>
              <w:t>Related Public Policy</w:t>
            </w:r>
          </w:p>
        </w:tc>
      </w:tr>
      <w:tr w:rsidR="006A2448" w:rsidRPr="006A2448" w14:paraId="737260D2" w14:textId="77777777" w:rsidTr="006A6C13">
        <w:tc>
          <w:tcPr>
            <w:tcW w:w="522" w:type="dxa"/>
            <w:tcBorders>
              <w:top w:val="single" w:sz="4" w:space="0" w:color="auto"/>
            </w:tcBorders>
            <w:hideMark/>
          </w:tcPr>
          <w:p w14:paraId="161C422C" w14:textId="77777777" w:rsidR="006A6C13" w:rsidRPr="006A2448" w:rsidRDefault="006A6C13" w:rsidP="00661C6D">
            <w:pPr>
              <w:spacing w:after="0"/>
              <w:jc w:val="center"/>
              <w:rPr>
                <w:rFonts w:ascii="Garamond" w:hAnsi="Garamond" w:cstheme="majorBidi"/>
                <w:sz w:val="24"/>
                <w:szCs w:val="24"/>
                <w:lang w:val="en-ID"/>
              </w:rPr>
            </w:pPr>
            <w:r w:rsidRPr="006A2448">
              <w:rPr>
                <w:rFonts w:ascii="Garamond" w:hAnsi="Garamond" w:cstheme="majorBidi"/>
                <w:sz w:val="24"/>
                <w:szCs w:val="24"/>
                <w:lang w:val="en-ID"/>
              </w:rPr>
              <w:t>1</w:t>
            </w:r>
          </w:p>
        </w:tc>
        <w:tc>
          <w:tcPr>
            <w:tcW w:w="0" w:type="auto"/>
            <w:tcBorders>
              <w:top w:val="single" w:sz="4" w:space="0" w:color="auto"/>
            </w:tcBorders>
            <w:hideMark/>
          </w:tcPr>
          <w:p w14:paraId="55234336"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MUI</w:t>
            </w:r>
          </w:p>
        </w:tc>
        <w:tc>
          <w:tcPr>
            <w:tcW w:w="2216" w:type="dxa"/>
            <w:tcBorders>
              <w:top w:val="single" w:sz="4" w:space="0" w:color="auto"/>
            </w:tcBorders>
            <w:hideMark/>
          </w:tcPr>
          <w:p w14:paraId="44D6556B"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Fatwa on the Prohibition of Smoking</w:t>
            </w:r>
          </w:p>
        </w:tc>
        <w:tc>
          <w:tcPr>
            <w:tcW w:w="0" w:type="auto"/>
            <w:tcBorders>
              <w:top w:val="single" w:sz="4" w:space="0" w:color="auto"/>
            </w:tcBorders>
            <w:hideMark/>
          </w:tcPr>
          <w:p w14:paraId="6D97CBCD"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Smoke-Free Zone Regulations in various regions</w:t>
            </w:r>
          </w:p>
        </w:tc>
      </w:tr>
      <w:tr w:rsidR="006A2448" w:rsidRPr="006A2448" w14:paraId="618614A4" w14:textId="77777777" w:rsidTr="006A6C13">
        <w:tc>
          <w:tcPr>
            <w:tcW w:w="522" w:type="dxa"/>
            <w:hideMark/>
          </w:tcPr>
          <w:p w14:paraId="05F9411E" w14:textId="77777777" w:rsidR="006A6C13" w:rsidRPr="006A2448" w:rsidRDefault="006A6C13" w:rsidP="00661C6D">
            <w:pPr>
              <w:spacing w:after="0"/>
              <w:jc w:val="center"/>
              <w:rPr>
                <w:rFonts w:ascii="Garamond" w:hAnsi="Garamond" w:cstheme="majorBidi"/>
                <w:sz w:val="24"/>
                <w:szCs w:val="24"/>
                <w:lang w:val="en-ID"/>
              </w:rPr>
            </w:pPr>
            <w:r w:rsidRPr="006A2448">
              <w:rPr>
                <w:rFonts w:ascii="Garamond" w:hAnsi="Garamond" w:cstheme="majorBidi"/>
                <w:sz w:val="24"/>
                <w:szCs w:val="24"/>
                <w:lang w:val="en-ID"/>
              </w:rPr>
              <w:t>2</w:t>
            </w:r>
          </w:p>
        </w:tc>
        <w:tc>
          <w:tcPr>
            <w:tcW w:w="0" w:type="auto"/>
            <w:hideMark/>
          </w:tcPr>
          <w:p w14:paraId="4643D3DF"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MUI and other Islamic organizations</w:t>
            </w:r>
          </w:p>
        </w:tc>
        <w:tc>
          <w:tcPr>
            <w:tcW w:w="2216" w:type="dxa"/>
            <w:hideMark/>
          </w:tcPr>
          <w:p w14:paraId="3323DFCA"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Fatwa on Halal Products</w:t>
            </w:r>
          </w:p>
        </w:tc>
        <w:tc>
          <w:tcPr>
            <w:tcW w:w="0" w:type="auto"/>
            <w:hideMark/>
          </w:tcPr>
          <w:p w14:paraId="024D10B1"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Law No. 33 of 2014 concerning Halal Product Guarantee</w:t>
            </w:r>
          </w:p>
        </w:tc>
      </w:tr>
      <w:tr w:rsidR="006A2448" w:rsidRPr="006A2448" w14:paraId="2699AF46" w14:textId="77777777" w:rsidTr="006A6C13">
        <w:tc>
          <w:tcPr>
            <w:tcW w:w="522" w:type="dxa"/>
            <w:hideMark/>
          </w:tcPr>
          <w:p w14:paraId="6FD2B636" w14:textId="77777777" w:rsidR="006A6C13" w:rsidRPr="006A2448" w:rsidRDefault="006A6C13" w:rsidP="00661C6D">
            <w:pPr>
              <w:spacing w:after="0"/>
              <w:jc w:val="center"/>
              <w:rPr>
                <w:rFonts w:ascii="Garamond" w:hAnsi="Garamond" w:cstheme="majorBidi"/>
                <w:sz w:val="24"/>
                <w:szCs w:val="24"/>
                <w:lang w:val="en-ID"/>
              </w:rPr>
            </w:pPr>
            <w:r w:rsidRPr="006A2448">
              <w:rPr>
                <w:rFonts w:ascii="Garamond" w:hAnsi="Garamond" w:cstheme="majorBidi"/>
                <w:sz w:val="24"/>
                <w:szCs w:val="24"/>
                <w:lang w:val="en-ID"/>
              </w:rPr>
              <w:t>3</w:t>
            </w:r>
          </w:p>
        </w:tc>
        <w:tc>
          <w:tcPr>
            <w:tcW w:w="0" w:type="auto"/>
            <w:hideMark/>
          </w:tcPr>
          <w:p w14:paraId="01A53646"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MUI</w:t>
            </w:r>
          </w:p>
        </w:tc>
        <w:tc>
          <w:tcPr>
            <w:tcW w:w="2216" w:type="dxa"/>
            <w:hideMark/>
          </w:tcPr>
          <w:p w14:paraId="3A1FCA43"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 xml:space="preserve">Fatwa on </w:t>
            </w:r>
            <w:proofErr w:type="spellStart"/>
            <w:r w:rsidRPr="006A2448">
              <w:rPr>
                <w:rFonts w:ascii="Garamond" w:hAnsi="Garamond" w:cstheme="majorBidi"/>
                <w:sz w:val="24"/>
                <w:szCs w:val="24"/>
                <w:lang w:val="en-ID"/>
              </w:rPr>
              <w:t>Ahmadiyah</w:t>
            </w:r>
            <w:proofErr w:type="spellEnd"/>
            <w:r w:rsidRPr="006A2448">
              <w:rPr>
                <w:rFonts w:ascii="Garamond" w:hAnsi="Garamond" w:cstheme="majorBidi"/>
                <w:sz w:val="24"/>
                <w:szCs w:val="24"/>
                <w:lang w:val="en-ID"/>
              </w:rPr>
              <w:t xml:space="preserve"> as a Heretical Sect</w:t>
            </w:r>
          </w:p>
        </w:tc>
        <w:tc>
          <w:tcPr>
            <w:tcW w:w="0" w:type="auto"/>
            <w:hideMark/>
          </w:tcPr>
          <w:p w14:paraId="709F33F8"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Joint Decree of Three Ministers of 2008</w:t>
            </w:r>
          </w:p>
        </w:tc>
      </w:tr>
      <w:tr w:rsidR="006A2448" w:rsidRPr="006A2448" w14:paraId="7F44ADAC" w14:textId="77777777" w:rsidTr="006A6C13">
        <w:tc>
          <w:tcPr>
            <w:tcW w:w="522" w:type="dxa"/>
            <w:tcBorders>
              <w:bottom w:val="single" w:sz="4" w:space="0" w:color="BFBFBF" w:themeColor="background1" w:themeShade="BF"/>
            </w:tcBorders>
            <w:hideMark/>
          </w:tcPr>
          <w:p w14:paraId="70E5E5C5" w14:textId="77777777" w:rsidR="006A6C13" w:rsidRPr="006A2448" w:rsidRDefault="006A6C13" w:rsidP="00661C6D">
            <w:pPr>
              <w:spacing w:after="0"/>
              <w:jc w:val="center"/>
              <w:rPr>
                <w:rFonts w:ascii="Garamond" w:hAnsi="Garamond" w:cstheme="majorBidi"/>
                <w:sz w:val="24"/>
                <w:szCs w:val="24"/>
                <w:lang w:val="en-ID"/>
              </w:rPr>
            </w:pPr>
            <w:r w:rsidRPr="006A2448">
              <w:rPr>
                <w:rFonts w:ascii="Garamond" w:hAnsi="Garamond" w:cstheme="majorBidi"/>
                <w:sz w:val="24"/>
                <w:szCs w:val="24"/>
                <w:lang w:val="en-ID"/>
              </w:rPr>
              <w:t>4</w:t>
            </w:r>
          </w:p>
        </w:tc>
        <w:tc>
          <w:tcPr>
            <w:tcW w:w="0" w:type="auto"/>
            <w:tcBorders>
              <w:bottom w:val="single" w:sz="4" w:space="0" w:color="BFBFBF" w:themeColor="background1" w:themeShade="BF"/>
            </w:tcBorders>
            <w:hideMark/>
          </w:tcPr>
          <w:p w14:paraId="3EACB280"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NU</w:t>
            </w:r>
          </w:p>
        </w:tc>
        <w:tc>
          <w:tcPr>
            <w:tcW w:w="2216" w:type="dxa"/>
            <w:tcBorders>
              <w:bottom w:val="single" w:sz="4" w:space="0" w:color="BFBFBF" w:themeColor="background1" w:themeShade="BF"/>
            </w:tcBorders>
            <w:hideMark/>
          </w:tcPr>
          <w:p w14:paraId="02489CC4"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Fatwa on Illegal Investment</w:t>
            </w:r>
          </w:p>
        </w:tc>
        <w:tc>
          <w:tcPr>
            <w:tcW w:w="0" w:type="auto"/>
            <w:tcBorders>
              <w:bottom w:val="single" w:sz="4" w:space="0" w:color="BFBFBF" w:themeColor="background1" w:themeShade="BF"/>
            </w:tcBorders>
            <w:hideMark/>
          </w:tcPr>
          <w:p w14:paraId="36B2AA86"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OJK education and crackdown on illegal investments</w:t>
            </w:r>
          </w:p>
        </w:tc>
      </w:tr>
      <w:tr w:rsidR="006A6C13" w:rsidRPr="006A2448" w14:paraId="17FBB440" w14:textId="77777777" w:rsidTr="006A6C13">
        <w:tc>
          <w:tcPr>
            <w:tcW w:w="522" w:type="dxa"/>
            <w:tcBorders>
              <w:bottom w:val="single" w:sz="4" w:space="0" w:color="auto"/>
            </w:tcBorders>
            <w:hideMark/>
          </w:tcPr>
          <w:p w14:paraId="08C78BE9" w14:textId="77777777" w:rsidR="006A6C13" w:rsidRPr="006A2448" w:rsidRDefault="006A6C13" w:rsidP="00661C6D">
            <w:pPr>
              <w:spacing w:after="0"/>
              <w:jc w:val="center"/>
              <w:rPr>
                <w:rFonts w:ascii="Garamond" w:hAnsi="Garamond" w:cstheme="majorBidi"/>
                <w:sz w:val="24"/>
                <w:szCs w:val="24"/>
                <w:lang w:val="en-ID"/>
              </w:rPr>
            </w:pPr>
            <w:r w:rsidRPr="006A2448">
              <w:rPr>
                <w:rFonts w:ascii="Garamond" w:hAnsi="Garamond" w:cstheme="majorBidi"/>
                <w:sz w:val="24"/>
                <w:szCs w:val="24"/>
                <w:lang w:val="en-ID"/>
              </w:rPr>
              <w:t>5</w:t>
            </w:r>
          </w:p>
        </w:tc>
        <w:tc>
          <w:tcPr>
            <w:tcW w:w="0" w:type="auto"/>
            <w:tcBorders>
              <w:bottom w:val="single" w:sz="4" w:space="0" w:color="auto"/>
            </w:tcBorders>
            <w:hideMark/>
          </w:tcPr>
          <w:p w14:paraId="6A4F16D3"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Muhammadiyah</w:t>
            </w:r>
          </w:p>
        </w:tc>
        <w:tc>
          <w:tcPr>
            <w:tcW w:w="2216" w:type="dxa"/>
            <w:tcBorders>
              <w:bottom w:val="single" w:sz="4" w:space="0" w:color="auto"/>
            </w:tcBorders>
            <w:hideMark/>
          </w:tcPr>
          <w:p w14:paraId="772B8ACB"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Fatwa on ZISWAF Funds for Social Purposes</w:t>
            </w:r>
          </w:p>
        </w:tc>
        <w:tc>
          <w:tcPr>
            <w:tcW w:w="0" w:type="auto"/>
            <w:tcBorders>
              <w:bottom w:val="single" w:sz="4" w:space="0" w:color="auto"/>
            </w:tcBorders>
            <w:hideMark/>
          </w:tcPr>
          <w:p w14:paraId="5C788E66" w14:textId="77777777" w:rsidR="006A6C13" w:rsidRPr="006A2448" w:rsidRDefault="006A6C13" w:rsidP="00661C6D">
            <w:pPr>
              <w:spacing w:after="0"/>
              <w:ind w:left="174"/>
              <w:rPr>
                <w:rFonts w:ascii="Garamond" w:hAnsi="Garamond" w:cstheme="majorBidi"/>
                <w:sz w:val="24"/>
                <w:szCs w:val="24"/>
                <w:lang w:val="en-ID"/>
              </w:rPr>
            </w:pPr>
            <w:r w:rsidRPr="006A2448">
              <w:rPr>
                <w:rFonts w:ascii="Garamond" w:hAnsi="Garamond" w:cstheme="majorBidi"/>
                <w:sz w:val="24"/>
                <w:szCs w:val="24"/>
                <w:lang w:val="en-ID"/>
              </w:rPr>
              <w:t>Regulations on the management of zakat and waqf under BAZNAS/LAZ</w:t>
            </w:r>
          </w:p>
        </w:tc>
      </w:tr>
    </w:tbl>
    <w:p w14:paraId="38C72474" w14:textId="77777777" w:rsidR="006A6C13" w:rsidRPr="006A2448" w:rsidRDefault="006A6C13" w:rsidP="006A6C13">
      <w:pPr>
        <w:spacing w:after="0"/>
        <w:jc w:val="both"/>
        <w:rPr>
          <w:rFonts w:ascii="Garamond" w:hAnsi="Garamond" w:cstheme="majorBidi"/>
          <w:b/>
          <w:bCs/>
          <w:sz w:val="24"/>
          <w:szCs w:val="24"/>
          <w:lang w:val="en-ID"/>
        </w:rPr>
      </w:pPr>
    </w:p>
    <w:p w14:paraId="4ACE5380"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 xml:space="preserve">This table shows a pattern of relationship between fatwas and state regulations, where the state often adopts or accommodates the views of religious institutions in responding to socio-religious issues. </w:t>
      </w:r>
      <w:r w:rsidRPr="006A2448">
        <w:rPr>
          <w:rFonts w:ascii="Garamond" w:hAnsi="Garamond" w:cstheme="majorBidi"/>
          <w:sz w:val="24"/>
          <w:szCs w:val="24"/>
        </w:rPr>
        <w:t>Interviews with MUI figures in Jakarta revealed that in the drafting of the Halal Product Guarantee Law, MUI was actively involved as a normative consultant and technical implementer through LPPOM MUI, prior to the formation of BPJPH.</w:t>
      </w:r>
    </w:p>
    <w:p w14:paraId="68663BC6"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rPr>
        <w:t>This shows the transformation of the MUI's role from a moral institution to a partner of the state in public religious regulation</w:t>
      </w:r>
      <w:r w:rsidRPr="006A2448">
        <w:rPr>
          <w:rFonts w:ascii="Garamond" w:hAnsi="Garamond" w:cstheme="majorBidi"/>
          <w:sz w:val="24"/>
          <w:szCs w:val="24"/>
          <w:lang w:val="en-ID"/>
        </w:rPr>
        <w:t>. With strong religious legitimacy among the Muslim community, fatwas have become a powerful source of political legitimacy. This is also reinforced by the state's formal recognition of the MUI's authority in various fields, such as sharia economics, education, and public health.</w:t>
      </w:r>
    </w:p>
    <w:p w14:paraId="03789CFC" w14:textId="4B7E4FFB"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 xml:space="preserve">However, this discussion cannot only highlight the positive aspects of the integration of fatwas into public policy. The fatwa declaring </w:t>
      </w:r>
      <w:proofErr w:type="spellStart"/>
      <w:r w:rsidRPr="006A2448">
        <w:rPr>
          <w:rFonts w:ascii="Garamond" w:hAnsi="Garamond" w:cstheme="majorBidi"/>
          <w:sz w:val="24"/>
          <w:szCs w:val="24"/>
          <w:lang w:val="en-ID"/>
        </w:rPr>
        <w:t>Ahmadiyah</w:t>
      </w:r>
      <w:proofErr w:type="spellEnd"/>
      <w:r w:rsidRPr="006A2448">
        <w:rPr>
          <w:rFonts w:ascii="Garamond" w:hAnsi="Garamond" w:cstheme="majorBidi"/>
          <w:sz w:val="24"/>
          <w:szCs w:val="24"/>
          <w:lang w:val="en-ID"/>
        </w:rPr>
        <w:t xml:space="preserve"> a heretical sect became the moral basis for the issuance of the 2008 Joint Ministerial Decree, which </w:t>
      </w:r>
      <w:r w:rsidRPr="006A2448">
        <w:rPr>
          <w:rFonts w:ascii="Garamond" w:hAnsi="Garamond" w:cstheme="majorBidi"/>
          <w:i/>
          <w:iCs/>
          <w:sz w:val="24"/>
          <w:szCs w:val="24"/>
          <w:lang w:val="en-ID"/>
        </w:rPr>
        <w:t xml:space="preserve">de facto </w:t>
      </w:r>
      <w:r w:rsidRPr="006A2448">
        <w:rPr>
          <w:rFonts w:ascii="Garamond" w:hAnsi="Garamond" w:cstheme="majorBidi"/>
          <w:sz w:val="24"/>
          <w:szCs w:val="24"/>
          <w:lang w:val="en-ID"/>
        </w:rPr>
        <w:t xml:space="preserve">restricted the constitutional rights of the </w:t>
      </w:r>
      <w:proofErr w:type="spellStart"/>
      <w:r w:rsidRPr="006A2448">
        <w:rPr>
          <w:rFonts w:ascii="Garamond" w:hAnsi="Garamond" w:cstheme="majorBidi"/>
          <w:sz w:val="24"/>
          <w:szCs w:val="24"/>
          <w:lang w:val="en-ID"/>
        </w:rPr>
        <w:t>Ahmadiyah</w:t>
      </w:r>
      <w:proofErr w:type="spellEnd"/>
      <w:r w:rsidRPr="006A2448">
        <w:rPr>
          <w:rFonts w:ascii="Garamond" w:hAnsi="Garamond" w:cstheme="majorBidi"/>
          <w:sz w:val="24"/>
          <w:szCs w:val="24"/>
          <w:lang w:val="en-ID"/>
        </w:rPr>
        <w:t xml:space="preserve"> community to worship. This shows how fatwas can become instruments of religious exclusivism that result in violations of human rights and religious freedom guaranteed by the constitution.</w:t>
      </w:r>
    </w:p>
    <w:p w14:paraId="452B0F17" w14:textId="77777777" w:rsidR="006A6C13" w:rsidRPr="006A2448" w:rsidRDefault="006A6C13" w:rsidP="006A6C13">
      <w:pPr>
        <w:spacing w:after="0"/>
        <w:jc w:val="center"/>
        <w:rPr>
          <w:rFonts w:ascii="Garamond" w:hAnsi="Garamond" w:cstheme="majorBidi"/>
          <w:sz w:val="24"/>
          <w:szCs w:val="24"/>
          <w:lang w:val="en-ID" w:eastAsia="en-US"/>
        </w:rPr>
      </w:pPr>
      <w:r w:rsidRPr="006A2448">
        <w:rPr>
          <w:rFonts w:ascii="Garamond" w:hAnsi="Garamond" w:cstheme="majorBidi"/>
          <w:b/>
          <w:bCs/>
          <w:sz w:val="24"/>
          <w:szCs w:val="24"/>
          <w:lang w:val="en-ID" w:eastAsia="en-US"/>
        </w:rPr>
        <w:t xml:space="preserve">Table 3. </w:t>
      </w:r>
      <w:r w:rsidRPr="006A2448">
        <w:rPr>
          <w:rFonts w:ascii="Garamond" w:hAnsi="Garamond" w:cstheme="majorBidi"/>
          <w:sz w:val="24"/>
          <w:szCs w:val="24"/>
          <w:lang w:val="en-ID" w:eastAsia="en-US"/>
        </w:rPr>
        <w:t xml:space="preserve">Responses to Specific Cases: Fatwa and Joint Decree on </w:t>
      </w:r>
      <w:proofErr w:type="spellStart"/>
      <w:r w:rsidRPr="006A2448">
        <w:rPr>
          <w:rFonts w:ascii="Garamond" w:hAnsi="Garamond" w:cstheme="majorBidi"/>
          <w:sz w:val="24"/>
          <w:szCs w:val="24"/>
          <w:lang w:val="en-ID" w:eastAsia="en-US"/>
        </w:rPr>
        <w:t>Ahmadiyah</w:t>
      </w:r>
      <w:proofErr w:type="spellEnd"/>
    </w:p>
    <w:p w14:paraId="1FEED141" w14:textId="77777777" w:rsidR="006A6C13" w:rsidRPr="006A2448" w:rsidRDefault="006A6C13" w:rsidP="006A6C13">
      <w:pPr>
        <w:spacing w:after="0"/>
        <w:ind w:firstLine="567"/>
        <w:jc w:val="both"/>
        <w:rPr>
          <w:rFonts w:ascii="Garamond" w:hAnsi="Garamond" w:cstheme="majorBidi"/>
          <w:sz w:val="10"/>
          <w:szCs w:val="10"/>
          <w:lang w:val="en-ID"/>
        </w:rPr>
      </w:pPr>
    </w:p>
    <w:tbl>
      <w:tblPr>
        <w:tblStyle w:val="TableGridLight1"/>
        <w:tblW w:w="0" w:type="auto"/>
        <w:tblLook w:val="04A0" w:firstRow="1" w:lastRow="0" w:firstColumn="1" w:lastColumn="0" w:noHBand="0" w:noVBand="1"/>
      </w:tblPr>
      <w:tblGrid>
        <w:gridCol w:w="1913"/>
        <w:gridCol w:w="2934"/>
        <w:gridCol w:w="2592"/>
        <w:gridCol w:w="1849"/>
      </w:tblGrid>
      <w:tr w:rsidR="006A2448" w:rsidRPr="006A2448" w14:paraId="100CAAC0" w14:textId="77777777" w:rsidTr="006A6C13">
        <w:tc>
          <w:tcPr>
            <w:tcW w:w="0" w:type="auto"/>
            <w:tcBorders>
              <w:top w:val="single" w:sz="4" w:space="0" w:color="auto"/>
              <w:bottom w:val="single" w:sz="4" w:space="0" w:color="auto"/>
            </w:tcBorders>
            <w:hideMark/>
          </w:tcPr>
          <w:p w14:paraId="27DE73AC" w14:textId="77777777" w:rsidR="006A6C13" w:rsidRPr="006A2448" w:rsidRDefault="006A6C13" w:rsidP="00661C6D">
            <w:pPr>
              <w:spacing w:after="0"/>
              <w:ind w:left="90" w:right="89"/>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 xml:space="preserve">Respondent </w:t>
            </w:r>
            <w:r w:rsidRPr="006A2448">
              <w:rPr>
                <w:rFonts w:ascii="Garamond" w:hAnsi="Garamond" w:cstheme="majorBidi"/>
                <w:b/>
                <w:bCs/>
                <w:sz w:val="24"/>
                <w:szCs w:val="24"/>
                <w:lang w:val="en-ID" w:eastAsia="en-US"/>
              </w:rPr>
              <w:lastRenderedPageBreak/>
              <w:t>Category</w:t>
            </w:r>
          </w:p>
        </w:tc>
        <w:tc>
          <w:tcPr>
            <w:tcW w:w="0" w:type="auto"/>
            <w:tcBorders>
              <w:top w:val="single" w:sz="4" w:space="0" w:color="auto"/>
              <w:bottom w:val="single" w:sz="4" w:space="0" w:color="auto"/>
            </w:tcBorders>
            <w:hideMark/>
          </w:tcPr>
          <w:p w14:paraId="1C0844C9" w14:textId="77777777" w:rsidR="006A6C13" w:rsidRPr="006A2448" w:rsidRDefault="006A6C13" w:rsidP="00661C6D">
            <w:pPr>
              <w:spacing w:after="0"/>
              <w:ind w:left="90" w:right="89"/>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lastRenderedPageBreak/>
              <w:t xml:space="preserve">Stating that the Joint </w:t>
            </w:r>
            <w:r w:rsidRPr="006A2448">
              <w:rPr>
                <w:rFonts w:ascii="Garamond" w:hAnsi="Garamond" w:cstheme="majorBidi"/>
                <w:b/>
                <w:bCs/>
                <w:sz w:val="24"/>
                <w:szCs w:val="24"/>
                <w:lang w:val="en-ID" w:eastAsia="en-US"/>
              </w:rPr>
              <w:lastRenderedPageBreak/>
              <w:t>Decree is Dominated by Fatwa (%)</w:t>
            </w:r>
          </w:p>
        </w:tc>
        <w:tc>
          <w:tcPr>
            <w:tcW w:w="0" w:type="auto"/>
            <w:tcBorders>
              <w:top w:val="single" w:sz="4" w:space="0" w:color="auto"/>
              <w:bottom w:val="single" w:sz="4" w:space="0" w:color="auto"/>
            </w:tcBorders>
            <w:hideMark/>
          </w:tcPr>
          <w:p w14:paraId="04438873" w14:textId="77777777" w:rsidR="006A6C13" w:rsidRPr="006A2448" w:rsidRDefault="006A6C13" w:rsidP="00661C6D">
            <w:pPr>
              <w:spacing w:after="0"/>
              <w:ind w:left="90" w:right="89"/>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lastRenderedPageBreak/>
              <w:t xml:space="preserve">Considered Joint </w:t>
            </w:r>
            <w:r w:rsidRPr="006A2448">
              <w:rPr>
                <w:rFonts w:ascii="Garamond" w:hAnsi="Garamond" w:cstheme="majorBidi"/>
                <w:b/>
                <w:bCs/>
                <w:sz w:val="24"/>
                <w:szCs w:val="24"/>
                <w:lang w:val="en-ID" w:eastAsia="en-US"/>
              </w:rPr>
              <w:lastRenderedPageBreak/>
              <w:t>Decree Unnecessary (%)</w:t>
            </w:r>
          </w:p>
        </w:tc>
        <w:tc>
          <w:tcPr>
            <w:tcW w:w="0" w:type="auto"/>
            <w:tcBorders>
              <w:top w:val="single" w:sz="4" w:space="0" w:color="auto"/>
              <w:bottom w:val="single" w:sz="4" w:space="0" w:color="auto"/>
            </w:tcBorders>
            <w:hideMark/>
          </w:tcPr>
          <w:p w14:paraId="2DD64473" w14:textId="77777777" w:rsidR="006A6C13" w:rsidRPr="006A2448" w:rsidRDefault="006A6C13" w:rsidP="00661C6D">
            <w:pPr>
              <w:spacing w:after="0"/>
              <w:ind w:left="90" w:right="89"/>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lastRenderedPageBreak/>
              <w:t xml:space="preserve">Don't Know / </w:t>
            </w:r>
            <w:r w:rsidRPr="006A2448">
              <w:rPr>
                <w:rFonts w:ascii="Garamond" w:hAnsi="Garamond" w:cstheme="majorBidi"/>
                <w:b/>
                <w:bCs/>
                <w:sz w:val="24"/>
                <w:szCs w:val="24"/>
                <w:lang w:val="en-ID" w:eastAsia="en-US"/>
              </w:rPr>
              <w:lastRenderedPageBreak/>
              <w:t>No Answer (%)</w:t>
            </w:r>
          </w:p>
        </w:tc>
      </w:tr>
      <w:tr w:rsidR="006A2448" w:rsidRPr="006A2448" w14:paraId="4012F6D3" w14:textId="77777777" w:rsidTr="006A6C13">
        <w:tc>
          <w:tcPr>
            <w:tcW w:w="0" w:type="auto"/>
            <w:tcBorders>
              <w:top w:val="single" w:sz="4" w:space="0" w:color="auto"/>
            </w:tcBorders>
            <w:hideMark/>
          </w:tcPr>
          <w:p w14:paraId="50FF395A"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lastRenderedPageBreak/>
              <w:t>Religious Leaders</w:t>
            </w:r>
          </w:p>
        </w:tc>
        <w:tc>
          <w:tcPr>
            <w:tcW w:w="0" w:type="auto"/>
            <w:tcBorders>
              <w:top w:val="single" w:sz="4" w:space="0" w:color="auto"/>
            </w:tcBorders>
            <w:hideMark/>
          </w:tcPr>
          <w:p w14:paraId="6A4814F9"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78</w:t>
            </w:r>
          </w:p>
        </w:tc>
        <w:tc>
          <w:tcPr>
            <w:tcW w:w="0" w:type="auto"/>
            <w:tcBorders>
              <w:top w:val="single" w:sz="4" w:space="0" w:color="auto"/>
            </w:tcBorders>
            <w:hideMark/>
          </w:tcPr>
          <w:p w14:paraId="6A598825"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10</w:t>
            </w:r>
          </w:p>
        </w:tc>
        <w:tc>
          <w:tcPr>
            <w:tcW w:w="0" w:type="auto"/>
            <w:tcBorders>
              <w:top w:val="single" w:sz="4" w:space="0" w:color="auto"/>
            </w:tcBorders>
            <w:hideMark/>
          </w:tcPr>
          <w:p w14:paraId="07C8DEAB"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12</w:t>
            </w:r>
          </w:p>
        </w:tc>
      </w:tr>
      <w:tr w:rsidR="006A2448" w:rsidRPr="006A2448" w14:paraId="267297FC" w14:textId="77777777" w:rsidTr="006A6C13">
        <w:tc>
          <w:tcPr>
            <w:tcW w:w="0" w:type="auto"/>
            <w:hideMark/>
          </w:tcPr>
          <w:p w14:paraId="3293D90A"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Academics</w:t>
            </w:r>
          </w:p>
        </w:tc>
        <w:tc>
          <w:tcPr>
            <w:tcW w:w="0" w:type="auto"/>
            <w:hideMark/>
          </w:tcPr>
          <w:p w14:paraId="6CFA2D0C"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63</w:t>
            </w:r>
          </w:p>
        </w:tc>
        <w:tc>
          <w:tcPr>
            <w:tcW w:w="0" w:type="auto"/>
            <w:hideMark/>
          </w:tcPr>
          <w:p w14:paraId="549F0C16"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30</w:t>
            </w:r>
          </w:p>
        </w:tc>
        <w:tc>
          <w:tcPr>
            <w:tcW w:w="0" w:type="auto"/>
            <w:hideMark/>
          </w:tcPr>
          <w:p w14:paraId="749F8307"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7</w:t>
            </w:r>
          </w:p>
        </w:tc>
      </w:tr>
      <w:tr w:rsidR="006A2448" w:rsidRPr="006A2448" w14:paraId="171D5721" w14:textId="77777777" w:rsidTr="006A6C13">
        <w:tc>
          <w:tcPr>
            <w:tcW w:w="0" w:type="auto"/>
            <w:tcBorders>
              <w:bottom w:val="single" w:sz="4" w:space="0" w:color="BFBFBF" w:themeColor="background1" w:themeShade="BF"/>
            </w:tcBorders>
            <w:hideMark/>
          </w:tcPr>
          <w:p w14:paraId="153D5C84"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General public</w:t>
            </w:r>
          </w:p>
        </w:tc>
        <w:tc>
          <w:tcPr>
            <w:tcW w:w="0" w:type="auto"/>
            <w:tcBorders>
              <w:bottom w:val="single" w:sz="4" w:space="0" w:color="BFBFBF" w:themeColor="background1" w:themeShade="BF"/>
            </w:tcBorders>
            <w:hideMark/>
          </w:tcPr>
          <w:p w14:paraId="6E12EFBE"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58</w:t>
            </w:r>
          </w:p>
        </w:tc>
        <w:tc>
          <w:tcPr>
            <w:tcW w:w="0" w:type="auto"/>
            <w:tcBorders>
              <w:bottom w:val="single" w:sz="4" w:space="0" w:color="BFBFBF" w:themeColor="background1" w:themeShade="BF"/>
            </w:tcBorders>
            <w:hideMark/>
          </w:tcPr>
          <w:p w14:paraId="67844A47"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20</w:t>
            </w:r>
          </w:p>
        </w:tc>
        <w:tc>
          <w:tcPr>
            <w:tcW w:w="0" w:type="auto"/>
            <w:tcBorders>
              <w:bottom w:val="single" w:sz="4" w:space="0" w:color="BFBFBF" w:themeColor="background1" w:themeShade="BF"/>
            </w:tcBorders>
            <w:hideMark/>
          </w:tcPr>
          <w:p w14:paraId="5922622E"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22</w:t>
            </w:r>
          </w:p>
        </w:tc>
      </w:tr>
      <w:tr w:rsidR="006A6C13" w:rsidRPr="006A2448" w14:paraId="6DCD8451" w14:textId="77777777" w:rsidTr="006A6C13">
        <w:tc>
          <w:tcPr>
            <w:tcW w:w="0" w:type="auto"/>
            <w:tcBorders>
              <w:bottom w:val="single" w:sz="4" w:space="0" w:color="auto"/>
            </w:tcBorders>
            <w:hideMark/>
          </w:tcPr>
          <w:p w14:paraId="5BA44D5A"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b/>
                <w:bCs/>
                <w:sz w:val="24"/>
                <w:szCs w:val="24"/>
                <w:lang w:val="en-ID" w:eastAsia="en-US"/>
              </w:rPr>
              <w:t>Average</w:t>
            </w:r>
          </w:p>
        </w:tc>
        <w:tc>
          <w:tcPr>
            <w:tcW w:w="0" w:type="auto"/>
            <w:tcBorders>
              <w:bottom w:val="single" w:sz="4" w:space="0" w:color="auto"/>
            </w:tcBorders>
            <w:hideMark/>
          </w:tcPr>
          <w:p w14:paraId="493850A8"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b/>
                <w:bCs/>
                <w:sz w:val="24"/>
                <w:szCs w:val="24"/>
                <w:lang w:val="en-ID" w:eastAsia="en-US"/>
              </w:rPr>
              <w:t>66.3</w:t>
            </w:r>
          </w:p>
        </w:tc>
        <w:tc>
          <w:tcPr>
            <w:tcW w:w="0" w:type="auto"/>
            <w:tcBorders>
              <w:bottom w:val="single" w:sz="4" w:space="0" w:color="auto"/>
            </w:tcBorders>
            <w:hideMark/>
          </w:tcPr>
          <w:p w14:paraId="107B2A81"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b/>
                <w:bCs/>
                <w:sz w:val="24"/>
                <w:szCs w:val="24"/>
                <w:lang w:val="en-ID" w:eastAsia="en-US"/>
              </w:rPr>
              <w:t>20</w:t>
            </w:r>
          </w:p>
        </w:tc>
        <w:tc>
          <w:tcPr>
            <w:tcW w:w="0" w:type="auto"/>
            <w:tcBorders>
              <w:bottom w:val="single" w:sz="4" w:space="0" w:color="auto"/>
            </w:tcBorders>
            <w:hideMark/>
          </w:tcPr>
          <w:p w14:paraId="601A58CC" w14:textId="77777777" w:rsidR="006A6C13" w:rsidRPr="006A2448" w:rsidRDefault="006A6C13" w:rsidP="00661C6D">
            <w:pPr>
              <w:spacing w:after="0"/>
              <w:ind w:left="90" w:right="89"/>
              <w:jc w:val="center"/>
              <w:rPr>
                <w:rFonts w:ascii="Garamond" w:hAnsi="Garamond" w:cstheme="majorBidi"/>
                <w:sz w:val="24"/>
                <w:szCs w:val="24"/>
                <w:lang w:val="en-ID" w:eastAsia="en-US"/>
              </w:rPr>
            </w:pPr>
            <w:r w:rsidRPr="006A2448">
              <w:rPr>
                <w:rFonts w:ascii="Garamond" w:hAnsi="Garamond" w:cstheme="majorBidi"/>
                <w:b/>
                <w:bCs/>
                <w:sz w:val="24"/>
                <w:szCs w:val="24"/>
                <w:lang w:val="en-ID" w:eastAsia="en-US"/>
              </w:rPr>
              <w:t>13.7</w:t>
            </w:r>
          </w:p>
        </w:tc>
      </w:tr>
    </w:tbl>
    <w:p w14:paraId="17021E96" w14:textId="77777777" w:rsidR="006A6C13" w:rsidRPr="006A2448" w:rsidRDefault="006A6C13" w:rsidP="006A6C13">
      <w:pPr>
        <w:spacing w:after="0"/>
        <w:jc w:val="both"/>
        <w:rPr>
          <w:rFonts w:ascii="Garamond" w:hAnsi="Garamond" w:cstheme="majorBidi"/>
          <w:sz w:val="14"/>
          <w:szCs w:val="14"/>
          <w:lang w:val="en-ID"/>
        </w:rPr>
      </w:pPr>
    </w:p>
    <w:p w14:paraId="475C1EAF"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eastAsia="en-US"/>
        </w:rPr>
        <w:t xml:space="preserve">The majority of respondents, especially religious leaders, believe that the 2008 Joint Ministerial Decree was based on the MUI fatwa on </w:t>
      </w:r>
      <w:proofErr w:type="spellStart"/>
      <w:r w:rsidRPr="006A2448">
        <w:rPr>
          <w:rFonts w:ascii="Garamond" w:hAnsi="Garamond" w:cstheme="majorBidi"/>
          <w:sz w:val="24"/>
          <w:szCs w:val="24"/>
          <w:lang w:val="en-ID" w:eastAsia="en-US"/>
        </w:rPr>
        <w:t>Ahmadiyah</w:t>
      </w:r>
      <w:proofErr w:type="spellEnd"/>
      <w:r w:rsidRPr="006A2448">
        <w:rPr>
          <w:rFonts w:ascii="Garamond" w:hAnsi="Garamond" w:cstheme="majorBidi"/>
          <w:sz w:val="24"/>
          <w:szCs w:val="24"/>
          <w:lang w:val="en-ID" w:eastAsia="en-US"/>
        </w:rPr>
        <w:t xml:space="preserve">. However, a significant proportion also expressed disagreement with the restriction of minority rights on the basis of fatwas. </w:t>
      </w:r>
      <w:r w:rsidRPr="006A2448">
        <w:rPr>
          <w:rFonts w:ascii="Garamond" w:hAnsi="Garamond" w:cstheme="majorBidi"/>
          <w:sz w:val="24"/>
          <w:szCs w:val="24"/>
          <w:lang w:val="en-ID"/>
        </w:rPr>
        <w:t>This consequence is also evident in the response of communities in several regions, where certain fatwas are used by radical groups to justify acts of intolerance against minorities. This indicates that the power of fatwas lies not only in their content, but also in how they are interpreted, mobilized, and capitalized on by socio-political actors in the field.</w:t>
      </w:r>
    </w:p>
    <w:p w14:paraId="3411FEA4"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 xml:space="preserve">Fatwas also serve as a responsive instrument to economic issues affecting the Muslim community. NU's fatwa on fraudulent investment has encouraged the OJK and Islamic financial institutions to strengthen public education and consumer protection. Meanwhile, Muhammadiyah, through the </w:t>
      </w:r>
      <w:proofErr w:type="spellStart"/>
      <w:r w:rsidRPr="006A2448">
        <w:rPr>
          <w:rFonts w:ascii="Garamond" w:hAnsi="Garamond" w:cstheme="majorBidi"/>
          <w:sz w:val="24"/>
          <w:szCs w:val="24"/>
          <w:lang w:val="en-ID"/>
        </w:rPr>
        <w:t>Tarjih</w:t>
      </w:r>
      <w:proofErr w:type="spellEnd"/>
      <w:r w:rsidRPr="006A2448">
        <w:rPr>
          <w:rFonts w:ascii="Garamond" w:hAnsi="Garamond" w:cstheme="majorBidi"/>
          <w:sz w:val="24"/>
          <w:szCs w:val="24"/>
          <w:lang w:val="en-ID"/>
        </w:rPr>
        <w:t xml:space="preserve"> Council, promotes progressive fatwas related to the management of zakat, productive waqf, and sharia-based social funds.</w:t>
      </w:r>
    </w:p>
    <w:p w14:paraId="3162A82E"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rPr>
        <w:t>From an internal process perspective, the formulation of fatwas is inseparable from the tug-of-war between various ideological interests. At the Indonesian Ulema Council (MUI), the Fatwa Commission consists of scholars from various mass organizations with different political and epistemological orientations. At NU and Muhammadiyah, the ijtihad forum also involves socio-political variables, including the party affiliations of some of its cadres. This shows that fatwas are social products born of power negotiations, not merely normative texts.</w:t>
      </w:r>
    </w:p>
    <w:p w14:paraId="30DAB4F1"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The results of this study also show that the fatwa production process is greatly influenced by the internal dynamics of religious institutions. For example, at the MUI, fatwas are formulated through the Fatwa Commission, which consists of scholars from various Islamic mass organizations, but in practice there is often a tug-of-war between conservative and progressive approaches. In NU and Muhammadiyah, fatwa decisions also go through a deliberative forum that involves socio-political aspects, including the influence of political cadres affiliated with certain parties. Thus, fatwas are not born in a vacuum, but are the product of social, ideological, and sometimes even economic-political negotiations.</w:t>
      </w:r>
    </w:p>
    <w:p w14:paraId="515C5F49" w14:textId="77777777" w:rsidR="006A6C13" w:rsidRPr="006A2448" w:rsidRDefault="006A6C13" w:rsidP="006A6C13">
      <w:pPr>
        <w:spacing w:after="0"/>
        <w:ind w:firstLine="567"/>
        <w:jc w:val="both"/>
        <w:rPr>
          <w:rFonts w:ascii="Garamond" w:hAnsi="Garamond" w:cstheme="majorBidi"/>
          <w:sz w:val="24"/>
          <w:szCs w:val="24"/>
        </w:rPr>
      </w:pPr>
      <w:r w:rsidRPr="006A2448">
        <w:rPr>
          <w:rFonts w:ascii="Garamond" w:hAnsi="Garamond" w:cstheme="majorBidi"/>
          <w:sz w:val="24"/>
          <w:szCs w:val="24"/>
        </w:rPr>
        <w:t xml:space="preserve">Based on the </w:t>
      </w:r>
      <w:r w:rsidRPr="006A2448">
        <w:rPr>
          <w:rFonts w:ascii="Garamond" w:hAnsi="Garamond" w:cstheme="majorBidi"/>
          <w:i/>
          <w:iCs/>
          <w:sz w:val="24"/>
          <w:szCs w:val="24"/>
        </w:rPr>
        <w:t xml:space="preserve">policy network </w:t>
      </w:r>
      <w:r w:rsidRPr="006A2448">
        <w:rPr>
          <w:rFonts w:ascii="Garamond" w:hAnsi="Garamond" w:cstheme="majorBidi"/>
          <w:sz w:val="24"/>
          <w:szCs w:val="24"/>
        </w:rPr>
        <w:t xml:space="preserve">approach, religious institutions occupy a position as informal power nodes in policy networks. They have social legitimacy and discourse production capacity, which allows their influence to transcend formal legal boundaries. When linked to the theory </w:t>
      </w:r>
      <w:r w:rsidRPr="006A2448">
        <w:rPr>
          <w:rFonts w:ascii="Garamond" w:hAnsi="Garamond" w:cstheme="majorBidi"/>
          <w:i/>
          <w:iCs/>
          <w:sz w:val="24"/>
          <w:szCs w:val="24"/>
        </w:rPr>
        <w:t>of religious authority</w:t>
      </w:r>
      <w:r w:rsidRPr="006A2448">
        <w:rPr>
          <w:rFonts w:ascii="Garamond" w:hAnsi="Garamond" w:cstheme="majorBidi"/>
          <w:sz w:val="24"/>
          <w:szCs w:val="24"/>
        </w:rPr>
        <w:t>, fatwas become an expression of symbolic authority formed not only by religious texts, but also by public acceptance and the accompanying political constellation.</w:t>
      </w:r>
    </w:p>
    <w:p w14:paraId="5FC05646" w14:textId="77777777" w:rsidR="006A6C13" w:rsidRPr="006A2448" w:rsidRDefault="006A6C13" w:rsidP="006A6C13">
      <w:pPr>
        <w:spacing w:after="0"/>
        <w:ind w:firstLine="567"/>
        <w:jc w:val="both"/>
        <w:rPr>
          <w:rFonts w:ascii="Garamond" w:hAnsi="Garamond" w:cstheme="majorBidi"/>
          <w:sz w:val="24"/>
          <w:szCs w:val="24"/>
        </w:rPr>
      </w:pPr>
      <w:r w:rsidRPr="006A2448">
        <w:rPr>
          <w:rFonts w:ascii="Garamond" w:hAnsi="Garamond" w:cstheme="majorBidi"/>
          <w:sz w:val="24"/>
          <w:szCs w:val="24"/>
        </w:rPr>
        <w:t>However, the dominance of mainstream religious narratives in public policy poses a serious challenge to the principle of pluralism. Conservative fatwas have the potential to close the space for diversity and reinforce the marginalization of minority groups. Therefore, collaborative mechanisms between the state, religious institutions, and civil society that uphold transparency, openness, and the principle of substantive justice are needed.</w:t>
      </w:r>
    </w:p>
    <w:p w14:paraId="70BAA4B4"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 xml:space="preserve">Thus, this discussion emphasizes that fatwas are not only normative products, but also active political actors in shaping public policy. In many ways, the state uses fatwas as a moral or </w:t>
      </w:r>
      <w:r w:rsidRPr="006A2448">
        <w:rPr>
          <w:rFonts w:ascii="Garamond" w:hAnsi="Garamond" w:cstheme="majorBidi"/>
          <w:sz w:val="24"/>
          <w:szCs w:val="24"/>
          <w:lang w:val="en-ID"/>
        </w:rPr>
        <w:lastRenderedPageBreak/>
        <w:t>even legal basis, either explicitly or implicitly. The relationship between religious institutions and the state in this case is mutualistic but not always equal, because the state tends to give more space to majority religious institutions without fully considering the principle of pluralism.</w:t>
      </w:r>
    </w:p>
    <w:p w14:paraId="434D6F19"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Amidst Indonesia's diverse society, religious intervention in public policy must be managed carefully. The state needs to develop evaluation and accountability mechanisms in the process of adopting religious values into policy, so that the principles of justice, inclusion, and democracy are upheld. Religious institutions are also required to critically reflect on their role in the public sphere so as not to get caught up in identity politics that undermine the foundations of nationality.</w:t>
      </w:r>
    </w:p>
    <w:p w14:paraId="0CABE688"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Overall, the results of this study show that religious institutions in Indonesia have a strategic position in public policy formation. Through fatwas, they are able to shape public opinion, influence legislation, and even determine the direction of development. However, for this role to be truly constructive, there needs to be more transparent and inclusive governance of religious participation in public policy that upholds democratic values.</w:t>
      </w:r>
    </w:p>
    <w:p w14:paraId="39B797B8" w14:textId="77777777" w:rsidR="006A6C13" w:rsidRPr="006A2448" w:rsidRDefault="006A6C13" w:rsidP="006A6C13">
      <w:pPr>
        <w:spacing w:after="0"/>
        <w:jc w:val="both"/>
        <w:rPr>
          <w:rFonts w:ascii="Garamond" w:hAnsi="Garamond" w:cstheme="majorBidi"/>
          <w:b/>
          <w:bCs/>
          <w:sz w:val="24"/>
          <w:szCs w:val="24"/>
          <w:lang w:val="en-ID"/>
        </w:rPr>
      </w:pPr>
    </w:p>
    <w:p w14:paraId="53443D0B" w14:textId="77777777" w:rsidR="006A6C13" w:rsidRPr="006A2448" w:rsidRDefault="006A6C13" w:rsidP="006A6C13">
      <w:pPr>
        <w:spacing w:after="0"/>
        <w:jc w:val="both"/>
        <w:rPr>
          <w:rFonts w:ascii="Garamond" w:hAnsi="Garamond" w:cstheme="majorBidi"/>
          <w:b/>
          <w:bCs/>
          <w:sz w:val="24"/>
          <w:szCs w:val="24"/>
          <w:lang w:val="en-ID"/>
        </w:rPr>
      </w:pPr>
      <w:r w:rsidRPr="006A2448">
        <w:rPr>
          <w:rFonts w:ascii="Garamond" w:hAnsi="Garamond" w:cstheme="majorBidi"/>
          <w:b/>
          <w:bCs/>
          <w:sz w:val="24"/>
          <w:szCs w:val="24"/>
          <w:lang w:val="en-ID"/>
        </w:rPr>
        <w:t>THE RELATIONSHIP BETWEEN FATWAS, IDENTITY POLITICS, AND CIVIL SOCIETY RESPONSES IN THE DYNAMICS OF PUBLIC POLICY</w:t>
      </w:r>
    </w:p>
    <w:p w14:paraId="7BE6A89B" w14:textId="77777777" w:rsidR="006A6C13" w:rsidRPr="006A2448" w:rsidRDefault="006A6C13" w:rsidP="00177BE4">
      <w:pPr>
        <w:spacing w:after="0"/>
        <w:jc w:val="both"/>
        <w:rPr>
          <w:rFonts w:ascii="Garamond" w:hAnsi="Garamond"/>
          <w:sz w:val="24"/>
          <w:szCs w:val="24"/>
          <w:lang w:val="en-ID"/>
        </w:rPr>
      </w:pPr>
      <w:r w:rsidRPr="006A2448">
        <w:rPr>
          <w:rFonts w:ascii="Garamond" w:hAnsi="Garamond"/>
          <w:sz w:val="24"/>
          <w:szCs w:val="24"/>
          <w:lang w:val="en-ID"/>
        </w:rPr>
        <w:t>The relationship between fatwas, identity politics, and civil society responses in the dynamics of Indonesian public policy reflects an intense symbolic contestation. In a democratic and pluralistic society, fatwas are no longer positioned solely as religious normative products, but have transformed into instruments of collective identity articulation, tools of political mobilization, and even determinants of state policy direction. This constellation shows that religion is no longer on the margins of the public sphere, but has become a determining force in the architecture of contemporary policy.</w:t>
      </w:r>
    </w:p>
    <w:p w14:paraId="5ADF4BCD" w14:textId="77777777" w:rsidR="006A6C13" w:rsidRPr="006A2448" w:rsidRDefault="006A6C13" w:rsidP="006A6C13">
      <w:pPr>
        <w:spacing w:after="0"/>
        <w:ind w:firstLine="567"/>
        <w:jc w:val="both"/>
        <w:rPr>
          <w:rFonts w:ascii="Garamond" w:hAnsi="Garamond"/>
          <w:sz w:val="8"/>
          <w:szCs w:val="8"/>
          <w:lang w:val="en-ID"/>
        </w:rPr>
      </w:pPr>
    </w:p>
    <w:p w14:paraId="436BDD4D" w14:textId="77777777" w:rsidR="006A6C13" w:rsidRPr="006A2448" w:rsidRDefault="006A6C13" w:rsidP="006A6C13">
      <w:pPr>
        <w:spacing w:after="0"/>
        <w:jc w:val="center"/>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 xml:space="preserve">Table 4. </w:t>
      </w:r>
      <w:r w:rsidRPr="006A2448">
        <w:rPr>
          <w:rFonts w:ascii="Garamond" w:hAnsi="Garamond" w:cstheme="majorBidi"/>
          <w:sz w:val="24"/>
          <w:szCs w:val="24"/>
          <w:lang w:val="en-ID" w:eastAsia="en-US"/>
        </w:rPr>
        <w:t>Perceptions of Religious Institutions' Participation in Legislation</w:t>
      </w:r>
    </w:p>
    <w:p w14:paraId="1C15A70B" w14:textId="77777777" w:rsidR="006A6C13" w:rsidRPr="006A2448" w:rsidRDefault="006A6C13" w:rsidP="006A6C13">
      <w:pPr>
        <w:spacing w:after="0"/>
        <w:ind w:firstLine="567"/>
        <w:jc w:val="both"/>
        <w:rPr>
          <w:rFonts w:ascii="Garamond" w:hAnsi="Garamond"/>
          <w:sz w:val="12"/>
          <w:szCs w:val="12"/>
          <w:lang w:val="en-ID"/>
        </w:rPr>
      </w:pPr>
    </w:p>
    <w:tbl>
      <w:tblPr>
        <w:tblStyle w:val="TableGridLight1"/>
        <w:tblW w:w="0" w:type="auto"/>
        <w:tblLook w:val="04A0" w:firstRow="1" w:lastRow="0" w:firstColumn="1" w:lastColumn="0" w:noHBand="0" w:noVBand="1"/>
      </w:tblPr>
      <w:tblGrid>
        <w:gridCol w:w="2507"/>
        <w:gridCol w:w="2965"/>
        <w:gridCol w:w="1618"/>
        <w:gridCol w:w="1798"/>
      </w:tblGrid>
      <w:tr w:rsidR="006A2448" w:rsidRPr="006A2448" w14:paraId="46F391C6" w14:textId="77777777" w:rsidTr="006A6C13">
        <w:tc>
          <w:tcPr>
            <w:tcW w:w="2507" w:type="dxa"/>
            <w:tcBorders>
              <w:top w:val="single" w:sz="4" w:space="0" w:color="auto"/>
              <w:bottom w:val="single" w:sz="4" w:space="0" w:color="auto"/>
            </w:tcBorders>
            <w:hideMark/>
          </w:tcPr>
          <w:p w14:paraId="05B62332" w14:textId="77777777" w:rsidR="006A6C13" w:rsidRPr="006A2448" w:rsidRDefault="006A6C13" w:rsidP="00661C6D">
            <w:pPr>
              <w:spacing w:after="0"/>
              <w:ind w:left="96"/>
              <w:jc w:val="both"/>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Religious Organizations</w:t>
            </w:r>
          </w:p>
        </w:tc>
        <w:tc>
          <w:tcPr>
            <w:tcW w:w="0" w:type="auto"/>
            <w:tcBorders>
              <w:top w:val="single" w:sz="4" w:space="0" w:color="auto"/>
              <w:bottom w:val="single" w:sz="4" w:space="0" w:color="auto"/>
            </w:tcBorders>
            <w:hideMark/>
          </w:tcPr>
          <w:p w14:paraId="3770F29B" w14:textId="77777777" w:rsidR="006A6C13" w:rsidRPr="006A2448" w:rsidRDefault="006A6C13" w:rsidP="00661C6D">
            <w:pPr>
              <w:spacing w:after="0"/>
              <w:ind w:left="106" w:right="155"/>
              <w:jc w:val="both"/>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Positive Assessment (%)</w:t>
            </w:r>
          </w:p>
        </w:tc>
        <w:tc>
          <w:tcPr>
            <w:tcW w:w="0" w:type="auto"/>
            <w:tcBorders>
              <w:top w:val="single" w:sz="4" w:space="0" w:color="auto"/>
              <w:bottom w:val="single" w:sz="4" w:space="0" w:color="auto"/>
            </w:tcBorders>
            <w:hideMark/>
          </w:tcPr>
          <w:p w14:paraId="0317FC0E" w14:textId="77777777" w:rsidR="006A6C13" w:rsidRPr="006A2448" w:rsidRDefault="006A6C13" w:rsidP="00661C6D">
            <w:pPr>
              <w:spacing w:after="0"/>
              <w:ind w:left="57" w:right="132"/>
              <w:jc w:val="both"/>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Neutral (%)</w:t>
            </w:r>
          </w:p>
        </w:tc>
        <w:tc>
          <w:tcPr>
            <w:tcW w:w="0" w:type="auto"/>
            <w:tcBorders>
              <w:top w:val="single" w:sz="4" w:space="0" w:color="auto"/>
              <w:bottom w:val="single" w:sz="4" w:space="0" w:color="auto"/>
            </w:tcBorders>
            <w:hideMark/>
          </w:tcPr>
          <w:p w14:paraId="4A2D4D19" w14:textId="77777777" w:rsidR="006A6C13" w:rsidRPr="006A2448" w:rsidRDefault="006A6C13" w:rsidP="00661C6D">
            <w:pPr>
              <w:spacing w:after="0"/>
              <w:ind w:left="110" w:right="117"/>
              <w:jc w:val="both"/>
              <w:rPr>
                <w:rFonts w:ascii="Garamond" w:hAnsi="Garamond" w:cstheme="majorBidi"/>
                <w:b/>
                <w:bCs/>
                <w:sz w:val="24"/>
                <w:szCs w:val="24"/>
                <w:lang w:val="en-ID" w:eastAsia="en-US"/>
              </w:rPr>
            </w:pPr>
            <w:r w:rsidRPr="006A2448">
              <w:rPr>
                <w:rFonts w:ascii="Garamond" w:hAnsi="Garamond" w:cstheme="majorBidi"/>
                <w:b/>
                <w:bCs/>
                <w:sz w:val="24"/>
                <w:szCs w:val="24"/>
                <w:lang w:val="en-ID" w:eastAsia="en-US"/>
              </w:rPr>
              <w:t>Negative (%)</w:t>
            </w:r>
          </w:p>
        </w:tc>
      </w:tr>
      <w:tr w:rsidR="006A2448" w:rsidRPr="006A2448" w14:paraId="6883FCD4" w14:textId="77777777" w:rsidTr="006A6C13">
        <w:tc>
          <w:tcPr>
            <w:tcW w:w="2507" w:type="dxa"/>
            <w:tcBorders>
              <w:top w:val="single" w:sz="4" w:space="0" w:color="auto"/>
            </w:tcBorders>
            <w:hideMark/>
          </w:tcPr>
          <w:p w14:paraId="092C33AC" w14:textId="77777777" w:rsidR="006A6C13" w:rsidRPr="006A2448" w:rsidRDefault="006A6C13" w:rsidP="00661C6D">
            <w:pPr>
              <w:spacing w:after="0"/>
              <w:ind w:left="567" w:hanging="471"/>
              <w:jc w:val="both"/>
              <w:rPr>
                <w:rFonts w:ascii="Garamond" w:hAnsi="Garamond" w:cstheme="majorBidi"/>
                <w:sz w:val="24"/>
                <w:szCs w:val="24"/>
                <w:lang w:val="en-ID" w:eastAsia="en-US"/>
              </w:rPr>
            </w:pPr>
            <w:r w:rsidRPr="006A2448">
              <w:rPr>
                <w:rFonts w:ascii="Garamond" w:hAnsi="Garamond" w:cstheme="majorBidi"/>
                <w:sz w:val="24"/>
                <w:szCs w:val="24"/>
                <w:lang w:val="en-ID" w:eastAsia="en-US"/>
              </w:rPr>
              <w:t>MUI</w:t>
            </w:r>
          </w:p>
        </w:tc>
        <w:tc>
          <w:tcPr>
            <w:tcW w:w="0" w:type="auto"/>
            <w:tcBorders>
              <w:top w:val="single" w:sz="4" w:space="0" w:color="auto"/>
            </w:tcBorders>
            <w:hideMark/>
          </w:tcPr>
          <w:p w14:paraId="7FC6FFAF"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64</w:t>
            </w:r>
          </w:p>
        </w:tc>
        <w:tc>
          <w:tcPr>
            <w:tcW w:w="0" w:type="auto"/>
            <w:tcBorders>
              <w:top w:val="single" w:sz="4" w:space="0" w:color="auto"/>
            </w:tcBorders>
            <w:hideMark/>
          </w:tcPr>
          <w:p w14:paraId="104BD13E"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22</w:t>
            </w:r>
          </w:p>
        </w:tc>
        <w:tc>
          <w:tcPr>
            <w:tcW w:w="0" w:type="auto"/>
            <w:tcBorders>
              <w:top w:val="single" w:sz="4" w:space="0" w:color="auto"/>
            </w:tcBorders>
            <w:hideMark/>
          </w:tcPr>
          <w:p w14:paraId="47A6E3F5"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14</w:t>
            </w:r>
          </w:p>
        </w:tc>
      </w:tr>
      <w:tr w:rsidR="006A2448" w:rsidRPr="006A2448" w14:paraId="2F716CBA" w14:textId="77777777" w:rsidTr="006A6C13">
        <w:tc>
          <w:tcPr>
            <w:tcW w:w="2507" w:type="dxa"/>
            <w:hideMark/>
          </w:tcPr>
          <w:p w14:paraId="2A872E27" w14:textId="77777777" w:rsidR="006A6C13" w:rsidRPr="006A2448" w:rsidRDefault="006A6C13" w:rsidP="00661C6D">
            <w:pPr>
              <w:spacing w:after="0"/>
              <w:ind w:left="567" w:hanging="471"/>
              <w:jc w:val="both"/>
              <w:rPr>
                <w:rFonts w:ascii="Garamond" w:hAnsi="Garamond" w:cstheme="majorBidi"/>
                <w:sz w:val="24"/>
                <w:szCs w:val="24"/>
                <w:lang w:val="en-ID" w:eastAsia="en-US"/>
              </w:rPr>
            </w:pPr>
            <w:r w:rsidRPr="006A2448">
              <w:rPr>
                <w:rFonts w:ascii="Garamond" w:hAnsi="Garamond" w:cstheme="majorBidi"/>
                <w:sz w:val="24"/>
                <w:szCs w:val="24"/>
                <w:lang w:val="en-ID" w:eastAsia="en-US"/>
              </w:rPr>
              <w:t>NU</w:t>
            </w:r>
          </w:p>
        </w:tc>
        <w:tc>
          <w:tcPr>
            <w:tcW w:w="0" w:type="auto"/>
            <w:hideMark/>
          </w:tcPr>
          <w:p w14:paraId="1F025F8B"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58</w:t>
            </w:r>
          </w:p>
        </w:tc>
        <w:tc>
          <w:tcPr>
            <w:tcW w:w="0" w:type="auto"/>
            <w:hideMark/>
          </w:tcPr>
          <w:p w14:paraId="39181503"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28</w:t>
            </w:r>
          </w:p>
        </w:tc>
        <w:tc>
          <w:tcPr>
            <w:tcW w:w="0" w:type="auto"/>
            <w:hideMark/>
          </w:tcPr>
          <w:p w14:paraId="6BEAF2CC"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14</w:t>
            </w:r>
          </w:p>
        </w:tc>
      </w:tr>
      <w:tr w:rsidR="006A2448" w:rsidRPr="006A2448" w14:paraId="22A145E6" w14:textId="77777777" w:rsidTr="006A6C13">
        <w:tc>
          <w:tcPr>
            <w:tcW w:w="2507" w:type="dxa"/>
            <w:tcBorders>
              <w:bottom w:val="single" w:sz="4" w:space="0" w:color="BFBFBF" w:themeColor="background1" w:themeShade="BF"/>
            </w:tcBorders>
            <w:hideMark/>
          </w:tcPr>
          <w:p w14:paraId="2D64F5B6" w14:textId="77777777" w:rsidR="006A6C13" w:rsidRPr="006A2448" w:rsidRDefault="006A6C13" w:rsidP="00661C6D">
            <w:pPr>
              <w:spacing w:after="0"/>
              <w:ind w:left="567" w:hanging="471"/>
              <w:jc w:val="both"/>
              <w:rPr>
                <w:rFonts w:ascii="Garamond" w:hAnsi="Garamond" w:cstheme="majorBidi"/>
                <w:sz w:val="24"/>
                <w:szCs w:val="24"/>
                <w:lang w:val="en-ID" w:eastAsia="en-US"/>
              </w:rPr>
            </w:pPr>
            <w:r w:rsidRPr="006A2448">
              <w:rPr>
                <w:rFonts w:ascii="Garamond" w:hAnsi="Garamond" w:cstheme="majorBidi"/>
                <w:sz w:val="24"/>
                <w:szCs w:val="24"/>
                <w:lang w:val="en-ID" w:eastAsia="en-US"/>
              </w:rPr>
              <w:t>Muhammadiyah</w:t>
            </w:r>
          </w:p>
        </w:tc>
        <w:tc>
          <w:tcPr>
            <w:tcW w:w="0" w:type="auto"/>
            <w:tcBorders>
              <w:bottom w:val="single" w:sz="4" w:space="0" w:color="BFBFBF" w:themeColor="background1" w:themeShade="BF"/>
            </w:tcBorders>
            <w:hideMark/>
          </w:tcPr>
          <w:p w14:paraId="15330E4D"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55</w:t>
            </w:r>
          </w:p>
        </w:tc>
        <w:tc>
          <w:tcPr>
            <w:tcW w:w="0" w:type="auto"/>
            <w:tcBorders>
              <w:bottom w:val="single" w:sz="4" w:space="0" w:color="BFBFBF" w:themeColor="background1" w:themeShade="BF"/>
            </w:tcBorders>
            <w:hideMark/>
          </w:tcPr>
          <w:p w14:paraId="62B868E0"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30</w:t>
            </w:r>
          </w:p>
        </w:tc>
        <w:tc>
          <w:tcPr>
            <w:tcW w:w="0" w:type="auto"/>
            <w:tcBorders>
              <w:bottom w:val="single" w:sz="4" w:space="0" w:color="BFBFBF" w:themeColor="background1" w:themeShade="BF"/>
            </w:tcBorders>
            <w:hideMark/>
          </w:tcPr>
          <w:p w14:paraId="579C4F76"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15</w:t>
            </w:r>
          </w:p>
        </w:tc>
      </w:tr>
      <w:tr w:rsidR="006A6C13" w:rsidRPr="006A2448" w14:paraId="54D2B2EC" w14:textId="77777777" w:rsidTr="006A6C13">
        <w:tc>
          <w:tcPr>
            <w:tcW w:w="2507" w:type="dxa"/>
            <w:tcBorders>
              <w:bottom w:val="single" w:sz="4" w:space="0" w:color="auto"/>
            </w:tcBorders>
            <w:hideMark/>
          </w:tcPr>
          <w:p w14:paraId="20034ED7" w14:textId="77777777" w:rsidR="006A6C13" w:rsidRPr="006A2448" w:rsidRDefault="006A6C13" w:rsidP="00661C6D">
            <w:pPr>
              <w:spacing w:after="0"/>
              <w:ind w:left="567" w:hanging="471"/>
              <w:jc w:val="both"/>
              <w:rPr>
                <w:rFonts w:ascii="Garamond" w:hAnsi="Garamond" w:cstheme="majorBidi"/>
                <w:sz w:val="24"/>
                <w:szCs w:val="24"/>
                <w:lang w:val="en-ID" w:eastAsia="en-US"/>
              </w:rPr>
            </w:pPr>
            <w:r w:rsidRPr="006A2448">
              <w:rPr>
                <w:rFonts w:ascii="Garamond" w:hAnsi="Garamond" w:cstheme="majorBidi"/>
                <w:sz w:val="24"/>
                <w:szCs w:val="24"/>
                <w:lang w:val="en-ID" w:eastAsia="en-US"/>
              </w:rPr>
              <w:t>Local Organizations</w:t>
            </w:r>
          </w:p>
        </w:tc>
        <w:tc>
          <w:tcPr>
            <w:tcW w:w="0" w:type="auto"/>
            <w:tcBorders>
              <w:bottom w:val="single" w:sz="4" w:space="0" w:color="auto"/>
            </w:tcBorders>
            <w:hideMark/>
          </w:tcPr>
          <w:p w14:paraId="39F4501E"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42</w:t>
            </w:r>
          </w:p>
        </w:tc>
        <w:tc>
          <w:tcPr>
            <w:tcW w:w="0" w:type="auto"/>
            <w:tcBorders>
              <w:bottom w:val="single" w:sz="4" w:space="0" w:color="auto"/>
            </w:tcBorders>
            <w:hideMark/>
          </w:tcPr>
          <w:p w14:paraId="6CB269B6"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33</w:t>
            </w:r>
          </w:p>
        </w:tc>
        <w:tc>
          <w:tcPr>
            <w:tcW w:w="0" w:type="auto"/>
            <w:tcBorders>
              <w:bottom w:val="single" w:sz="4" w:space="0" w:color="auto"/>
            </w:tcBorders>
            <w:hideMark/>
          </w:tcPr>
          <w:p w14:paraId="138E4AA7" w14:textId="77777777" w:rsidR="006A6C13" w:rsidRPr="006A2448" w:rsidRDefault="006A6C13" w:rsidP="00661C6D">
            <w:pPr>
              <w:spacing w:after="0"/>
              <w:ind w:left="106" w:right="167"/>
              <w:jc w:val="center"/>
              <w:rPr>
                <w:rFonts w:ascii="Garamond" w:hAnsi="Garamond" w:cstheme="majorBidi"/>
                <w:sz w:val="24"/>
                <w:szCs w:val="24"/>
                <w:lang w:val="en-ID" w:eastAsia="en-US"/>
              </w:rPr>
            </w:pPr>
            <w:r w:rsidRPr="006A2448">
              <w:rPr>
                <w:rFonts w:ascii="Garamond" w:hAnsi="Garamond" w:cstheme="majorBidi"/>
                <w:sz w:val="24"/>
                <w:szCs w:val="24"/>
                <w:lang w:val="en-ID" w:eastAsia="en-US"/>
              </w:rPr>
              <w:t>25</w:t>
            </w:r>
          </w:p>
        </w:tc>
      </w:tr>
    </w:tbl>
    <w:p w14:paraId="18B135B0" w14:textId="77777777" w:rsidR="006A6C13" w:rsidRPr="006A2448" w:rsidRDefault="006A6C13" w:rsidP="006A6C13">
      <w:pPr>
        <w:spacing w:after="0"/>
        <w:jc w:val="both"/>
        <w:rPr>
          <w:rFonts w:ascii="Garamond" w:hAnsi="Garamond" w:cstheme="majorBidi"/>
          <w:sz w:val="14"/>
          <w:szCs w:val="14"/>
          <w:lang w:val="en-ID"/>
        </w:rPr>
      </w:pPr>
    </w:p>
    <w:p w14:paraId="61656DF6"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eastAsia="en-US"/>
        </w:rPr>
        <w:t xml:space="preserve">The participation of large institutions such as the MUI and NU is still viewed positively, although trust in local Islamic organizations tends to be lower, mainly because they are considered less accountable and transparent. </w:t>
      </w:r>
      <w:r w:rsidRPr="006A2448">
        <w:rPr>
          <w:rFonts w:ascii="Garamond" w:hAnsi="Garamond"/>
          <w:sz w:val="24"/>
          <w:szCs w:val="24"/>
          <w:lang w:val="en-ID"/>
        </w:rPr>
        <w:t xml:space="preserve">Fatwas, which were originally the product </w:t>
      </w:r>
      <w:r w:rsidRPr="006A2448">
        <w:rPr>
          <w:rFonts w:ascii="Garamond" w:hAnsi="Garamond"/>
          <w:i/>
          <w:iCs/>
          <w:sz w:val="24"/>
          <w:szCs w:val="24"/>
          <w:lang w:val="en-ID"/>
        </w:rPr>
        <w:t xml:space="preserve">of </w:t>
      </w:r>
      <w:r w:rsidRPr="006A2448">
        <w:rPr>
          <w:rFonts w:ascii="Garamond" w:hAnsi="Garamond"/>
          <w:sz w:val="24"/>
          <w:szCs w:val="24"/>
          <w:lang w:val="en-ID"/>
        </w:rPr>
        <w:t xml:space="preserve">scholarly </w:t>
      </w:r>
      <w:r w:rsidRPr="006A2448">
        <w:rPr>
          <w:rFonts w:ascii="Garamond" w:hAnsi="Garamond"/>
          <w:i/>
          <w:iCs/>
          <w:sz w:val="24"/>
          <w:szCs w:val="24"/>
          <w:lang w:val="en-ID"/>
        </w:rPr>
        <w:t xml:space="preserve">ijtihad </w:t>
      </w:r>
      <w:r w:rsidRPr="006A2448">
        <w:rPr>
          <w:rFonts w:ascii="Garamond" w:hAnsi="Garamond"/>
          <w:sz w:val="24"/>
          <w:szCs w:val="24"/>
          <w:lang w:val="en-ID"/>
        </w:rPr>
        <w:t xml:space="preserve">on moral issues, now operate in a broader spectrum. The case of MUI Fatwa No. 7 of 2005 on </w:t>
      </w:r>
      <w:proofErr w:type="spellStart"/>
      <w:r w:rsidRPr="006A2448">
        <w:rPr>
          <w:rFonts w:ascii="Garamond" w:hAnsi="Garamond"/>
          <w:sz w:val="24"/>
          <w:szCs w:val="24"/>
          <w:lang w:val="en-ID"/>
        </w:rPr>
        <w:t>Ahmadiyah</w:t>
      </w:r>
      <w:proofErr w:type="spellEnd"/>
      <w:r w:rsidRPr="006A2448">
        <w:rPr>
          <w:rFonts w:ascii="Garamond" w:hAnsi="Garamond"/>
          <w:sz w:val="24"/>
          <w:szCs w:val="24"/>
          <w:lang w:val="en-ID"/>
        </w:rPr>
        <w:t xml:space="preserve"> shows how religious authorities can produce tangible policy effects. The fatwa provided social and political legitimacy for the issuance of the 2008 Joint Ministerial Decree limiting the activities of the </w:t>
      </w:r>
      <w:proofErr w:type="spellStart"/>
      <w:r w:rsidRPr="006A2448">
        <w:rPr>
          <w:rFonts w:ascii="Garamond" w:hAnsi="Garamond"/>
          <w:sz w:val="24"/>
          <w:szCs w:val="24"/>
          <w:lang w:val="en-ID"/>
        </w:rPr>
        <w:t>Ahmadiyah</w:t>
      </w:r>
      <w:proofErr w:type="spellEnd"/>
      <w:r w:rsidRPr="006A2448">
        <w:rPr>
          <w:rFonts w:ascii="Garamond" w:hAnsi="Garamond"/>
          <w:sz w:val="24"/>
          <w:szCs w:val="24"/>
          <w:lang w:val="en-ID"/>
        </w:rPr>
        <w:t xml:space="preserve"> community. This process illustrates that fatwas have </w:t>
      </w:r>
      <w:r w:rsidRPr="006A2448">
        <w:rPr>
          <w:rFonts w:ascii="Garamond" w:hAnsi="Garamond"/>
          <w:i/>
          <w:iCs/>
          <w:sz w:val="24"/>
          <w:szCs w:val="24"/>
          <w:lang w:val="en-ID"/>
        </w:rPr>
        <w:t xml:space="preserve">performative power </w:t>
      </w:r>
      <w:r w:rsidRPr="006A2448">
        <w:rPr>
          <w:rFonts w:ascii="Garamond" w:hAnsi="Garamond"/>
          <w:sz w:val="24"/>
          <w:szCs w:val="24"/>
          <w:lang w:val="en-ID"/>
        </w:rPr>
        <w:t>in shaping public perception and state justification for restrictive actions in the name of social harmony.</w:t>
      </w:r>
    </w:p>
    <w:p w14:paraId="0B386C15"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lang w:val="en-ID"/>
        </w:rPr>
        <w:t xml:space="preserve">In the framework of identity politics, fatwas are often used as a tool to mobilize support based on religious similarities. The 2017 Jakarta gubernatorial election was the culmination of this process. The MUI fatwa, which stated that Governor Ahok's statement regarding Al-Maidah verse 51 was blasphemous, became a catalyst for mass mobilization that led to social division. In </w:t>
      </w:r>
      <w:r w:rsidRPr="006A2448">
        <w:rPr>
          <w:rFonts w:ascii="Garamond" w:hAnsi="Garamond"/>
          <w:sz w:val="24"/>
          <w:szCs w:val="24"/>
          <w:lang w:val="en-ID"/>
        </w:rPr>
        <w:lastRenderedPageBreak/>
        <w:t>this context, fatwas are used not only as moral guidance but also as instruments of political exclusivism legitimization.</w:t>
      </w:r>
    </w:p>
    <w:p w14:paraId="0E9722D2"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lang w:val="en-ID"/>
        </w:rPr>
        <w:t xml:space="preserve">These dynamics elicited diverse responses from civil society. Conservative Islamic groups such as the Islamic Defenders Front (FPI), </w:t>
      </w:r>
      <w:proofErr w:type="spellStart"/>
      <w:r w:rsidRPr="006A2448">
        <w:rPr>
          <w:rFonts w:ascii="Garamond" w:hAnsi="Garamond"/>
          <w:sz w:val="24"/>
          <w:szCs w:val="24"/>
          <w:lang w:val="en-ID"/>
        </w:rPr>
        <w:t>tarbiyah</w:t>
      </w:r>
      <w:proofErr w:type="spellEnd"/>
      <w:r w:rsidRPr="006A2448">
        <w:rPr>
          <w:rFonts w:ascii="Garamond" w:hAnsi="Garamond"/>
          <w:sz w:val="24"/>
          <w:szCs w:val="24"/>
          <w:lang w:val="en-ID"/>
        </w:rPr>
        <w:t xml:space="preserve"> groups, and supporters of the Islamic Defenders Front (HTI) tend to use fatwas as the basis for sharia-based political struggles. Conversely, progressive civil organizations such as the Wahid Foundation, the Liberal Islam Network (JIL), </w:t>
      </w:r>
      <w:proofErr w:type="spellStart"/>
      <w:r w:rsidRPr="006A2448">
        <w:rPr>
          <w:rFonts w:ascii="Garamond" w:hAnsi="Garamond"/>
          <w:sz w:val="24"/>
          <w:szCs w:val="24"/>
          <w:lang w:val="en-ID"/>
        </w:rPr>
        <w:t>LKiS</w:t>
      </w:r>
      <w:proofErr w:type="spellEnd"/>
      <w:r w:rsidRPr="006A2448">
        <w:rPr>
          <w:rFonts w:ascii="Garamond" w:hAnsi="Garamond"/>
          <w:sz w:val="24"/>
          <w:szCs w:val="24"/>
          <w:lang w:val="en-ID"/>
        </w:rPr>
        <w:t xml:space="preserve">, and </w:t>
      </w:r>
      <w:proofErr w:type="spellStart"/>
      <w:r w:rsidRPr="006A2448">
        <w:rPr>
          <w:rFonts w:ascii="Garamond" w:hAnsi="Garamond"/>
          <w:sz w:val="24"/>
          <w:szCs w:val="24"/>
          <w:lang w:val="en-ID"/>
        </w:rPr>
        <w:t>Gusdurian</w:t>
      </w:r>
      <w:proofErr w:type="spellEnd"/>
      <w:r w:rsidRPr="006A2448">
        <w:rPr>
          <w:rFonts w:ascii="Garamond" w:hAnsi="Garamond"/>
          <w:sz w:val="24"/>
          <w:szCs w:val="24"/>
          <w:lang w:val="en-ID"/>
        </w:rPr>
        <w:t xml:space="preserve"> reject the politicization of fatwas, especially those that imply violations of the rights of minorities, women, or religious groups.</w:t>
      </w:r>
    </w:p>
    <w:p w14:paraId="571F86D0"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rPr>
        <w:t>This analysis shows that fatwas have two faces: on the one hand, they function as instruments of social integration and moral legitimacy for the state, but on the other hand, they can be a means of political exclusion against minority groups. This is in line with the view that fatwas are often used as symbolic legal devices to reinforce majoritarianism.</w:t>
      </w:r>
      <w:r w:rsidRPr="006A2448">
        <w:rPr>
          <w:rStyle w:val="FootnoteReference"/>
          <w:rFonts w:ascii="Garamond" w:hAnsi="Garamond"/>
          <w:sz w:val="24"/>
          <w:szCs w:val="24"/>
        </w:rPr>
        <w:footnoteReference w:id="52"/>
      </w:r>
      <w:r w:rsidRPr="006A2448">
        <w:rPr>
          <w:rFonts w:ascii="Garamond" w:hAnsi="Garamond"/>
          <w:sz w:val="24"/>
          <w:szCs w:val="24"/>
        </w:rPr>
        <w:t xml:space="preserve"> From the perspective of Gramsci's theory of hegemony, fatwas can be understood as part of </w:t>
      </w:r>
      <w:r w:rsidRPr="006A2448">
        <w:rPr>
          <w:rFonts w:ascii="Garamond" w:hAnsi="Garamond"/>
          <w:i/>
          <w:iCs/>
          <w:sz w:val="24"/>
          <w:szCs w:val="24"/>
        </w:rPr>
        <w:t xml:space="preserve">the </w:t>
      </w:r>
      <w:r w:rsidRPr="006A2448">
        <w:rPr>
          <w:rFonts w:ascii="Garamond" w:hAnsi="Garamond"/>
          <w:sz w:val="24"/>
          <w:szCs w:val="24"/>
        </w:rPr>
        <w:t>"</w:t>
      </w:r>
      <w:r w:rsidRPr="006A2448">
        <w:rPr>
          <w:rFonts w:ascii="Garamond" w:hAnsi="Garamond"/>
          <w:i/>
          <w:iCs/>
          <w:sz w:val="24"/>
          <w:szCs w:val="24"/>
        </w:rPr>
        <w:t>ideological arena</w:t>
      </w:r>
      <w:r w:rsidRPr="006A2448">
        <w:rPr>
          <w:rFonts w:ascii="Garamond" w:hAnsi="Garamond"/>
          <w:sz w:val="24"/>
          <w:szCs w:val="24"/>
        </w:rPr>
        <w:t>" that competes for moral and political dominance in the public sphere.</w:t>
      </w:r>
      <w:r w:rsidRPr="006A2448">
        <w:rPr>
          <w:rStyle w:val="FootnoteReference"/>
          <w:rFonts w:ascii="Garamond" w:hAnsi="Garamond"/>
          <w:sz w:val="24"/>
          <w:szCs w:val="24"/>
        </w:rPr>
        <w:footnoteReference w:id="53"/>
      </w:r>
    </w:p>
    <w:p w14:paraId="6F83C010"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lang w:val="en-ID"/>
        </w:rPr>
        <w:t>They emphasize the need to separate religious authority and state power. In this view, the state should not be subject to a particular religious interpretation, but must maintain ideological neutrality in order to guarantee the civil rights of all citizens. Fatwas, in this perspective, can only serve as ethical references, not as a conservative basis for legislation.</w:t>
      </w:r>
    </w:p>
    <w:p w14:paraId="2C6C123C"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lang w:val="en-ID"/>
        </w:rPr>
        <w:t xml:space="preserve">On the other hand, Sharia-based policies in various regions, such as the Sharia Regional Regulations in Aceh, Padang, or </w:t>
      </w:r>
      <w:proofErr w:type="spellStart"/>
      <w:r w:rsidRPr="006A2448">
        <w:rPr>
          <w:rFonts w:ascii="Garamond" w:hAnsi="Garamond"/>
          <w:sz w:val="24"/>
          <w:szCs w:val="24"/>
          <w:lang w:val="en-ID"/>
        </w:rPr>
        <w:t>Tasikmalaya</w:t>
      </w:r>
      <w:proofErr w:type="spellEnd"/>
      <w:r w:rsidRPr="006A2448">
        <w:rPr>
          <w:rFonts w:ascii="Garamond" w:hAnsi="Garamond"/>
          <w:sz w:val="24"/>
          <w:szCs w:val="24"/>
          <w:lang w:val="en-ID"/>
        </w:rPr>
        <w:t>, show how fatwas are often used as normative references by local governments in forming public regulations. Such policies have been criticized for their potential to discriminate against women, young people, and non-mainstream religious groups.</w:t>
      </w:r>
    </w:p>
    <w:p w14:paraId="49045B57"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rPr>
        <w:t>This finding is reinforced by research from the Wahid Institute, which recorded more than 400 discriminatory local regulations, most of which are rooted in fatwas or conservative religious interpretations.</w:t>
      </w:r>
      <w:r w:rsidRPr="006A2448">
        <w:rPr>
          <w:rStyle w:val="FootnoteReference"/>
          <w:rFonts w:ascii="Garamond" w:hAnsi="Garamond"/>
          <w:sz w:val="24"/>
          <w:szCs w:val="24"/>
        </w:rPr>
        <w:footnoteReference w:id="54"/>
      </w:r>
      <w:r w:rsidRPr="006A2448">
        <w:rPr>
          <w:rFonts w:ascii="Garamond" w:hAnsi="Garamond"/>
          <w:sz w:val="24"/>
          <w:szCs w:val="24"/>
        </w:rPr>
        <w:t xml:space="preserve"> This data confirms that the relationship between fatwas and public policy is not neutral, but rather laden with political identity interests. The implications are serious because they have the potential to undermine the principle of </w:t>
      </w:r>
      <w:r w:rsidRPr="006A2448">
        <w:rPr>
          <w:rFonts w:ascii="Garamond" w:hAnsi="Garamond"/>
          <w:i/>
          <w:iCs/>
          <w:sz w:val="24"/>
          <w:szCs w:val="24"/>
        </w:rPr>
        <w:t xml:space="preserve">equal citizenship </w:t>
      </w:r>
      <w:r w:rsidRPr="006A2448">
        <w:rPr>
          <w:rFonts w:ascii="Garamond" w:hAnsi="Garamond"/>
          <w:sz w:val="24"/>
          <w:szCs w:val="24"/>
        </w:rPr>
        <w:t>and weaken the basis of substantive democracy.</w:t>
      </w:r>
      <w:r w:rsidRPr="006A2448">
        <w:rPr>
          <w:rStyle w:val="FootnoteReference"/>
          <w:rFonts w:ascii="Garamond" w:hAnsi="Garamond"/>
          <w:sz w:val="24"/>
          <w:szCs w:val="24"/>
        </w:rPr>
        <w:footnoteReference w:id="55"/>
      </w:r>
      <w:r w:rsidRPr="006A2448">
        <w:rPr>
          <w:rFonts w:ascii="Garamond" w:hAnsi="Garamond"/>
          <w:sz w:val="24"/>
          <w:szCs w:val="24"/>
        </w:rPr>
        <w:t xml:space="preserve"> </w:t>
      </w:r>
      <w:r w:rsidRPr="006A2448">
        <w:rPr>
          <w:rStyle w:val="FootnoteReference"/>
          <w:rFonts w:ascii="Garamond" w:hAnsi="Garamond"/>
          <w:sz w:val="24"/>
          <w:szCs w:val="24"/>
        </w:rPr>
        <w:footnoteReference w:id="56"/>
      </w:r>
    </w:p>
    <w:p w14:paraId="473106C0"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lang w:val="en-ID"/>
        </w:rPr>
        <w:t xml:space="preserve">A study by The Wahid </w:t>
      </w:r>
      <w:proofErr w:type="gramStart"/>
      <w:r w:rsidRPr="006A2448">
        <w:rPr>
          <w:rFonts w:ascii="Garamond" w:hAnsi="Garamond"/>
          <w:sz w:val="24"/>
          <w:szCs w:val="24"/>
          <w:lang w:val="en-ID"/>
        </w:rPr>
        <w:t>Institute  notes</w:t>
      </w:r>
      <w:proofErr w:type="gramEnd"/>
      <w:r w:rsidRPr="006A2448">
        <w:rPr>
          <w:rFonts w:ascii="Garamond" w:hAnsi="Garamond"/>
          <w:sz w:val="24"/>
          <w:szCs w:val="24"/>
          <w:lang w:val="en-ID"/>
        </w:rPr>
        <w:t xml:space="preserve"> that there are more than 400 regional regulations that have the potential to be discriminatory, mostly because they refer to conservative religious interpretations institutionalized through fatwas. The implications of this fact are very serious, as they threaten the principle </w:t>
      </w:r>
      <w:r w:rsidRPr="006A2448">
        <w:rPr>
          <w:rFonts w:ascii="Garamond" w:hAnsi="Garamond"/>
          <w:i/>
          <w:iCs/>
          <w:sz w:val="24"/>
          <w:szCs w:val="24"/>
          <w:lang w:val="en-ID"/>
        </w:rPr>
        <w:t xml:space="preserve">of equal citizenship </w:t>
      </w:r>
      <w:r w:rsidRPr="006A2448">
        <w:rPr>
          <w:rFonts w:ascii="Garamond" w:hAnsi="Garamond"/>
          <w:sz w:val="24"/>
          <w:szCs w:val="24"/>
          <w:lang w:val="en-ID"/>
        </w:rPr>
        <w:t>and narrow the public space that should guarantee freedom of religion.</w:t>
      </w:r>
      <w:r w:rsidRPr="006A2448">
        <w:rPr>
          <w:rStyle w:val="FootnoteReference"/>
          <w:rFonts w:ascii="Garamond" w:hAnsi="Garamond"/>
          <w:sz w:val="24"/>
          <w:szCs w:val="24"/>
          <w:lang w:val="en-ID"/>
        </w:rPr>
        <w:footnoteReference w:id="57"/>
      </w:r>
    </w:p>
    <w:p w14:paraId="3EDCCE0A" w14:textId="77777777" w:rsidR="006A6C13" w:rsidRPr="006A2448" w:rsidRDefault="006A6C13" w:rsidP="006A6C13">
      <w:pPr>
        <w:spacing w:after="0"/>
        <w:ind w:firstLine="567"/>
        <w:jc w:val="both"/>
        <w:rPr>
          <w:rFonts w:ascii="Garamond" w:hAnsi="Garamond"/>
          <w:sz w:val="24"/>
          <w:szCs w:val="24"/>
          <w:lang w:val="en-ID"/>
        </w:rPr>
      </w:pPr>
      <w:r w:rsidRPr="006A2448">
        <w:rPr>
          <w:rFonts w:ascii="Garamond" w:hAnsi="Garamond"/>
          <w:sz w:val="24"/>
          <w:szCs w:val="24"/>
          <w:lang w:val="en-ID"/>
        </w:rPr>
        <w:lastRenderedPageBreak/>
        <w:t>If not carefully scrutinized, this phenomenon could give rise to moral authority, a situation in which public norms are shaped by the dominance of the religious interpretations of the majority. Democracy would then be reduced to majority proceduralism, rather than a system that protects the rights of all citizens without discrimination. Nevertheless, there is still room to resist this dominance. Progressive civil society, academics, and independent media play an important role in criticizing and monitoring the use of fatwas in practical politics. These efforts serve as a form of social control to prevent religion from being used as a tool of exclusion and unilateral power.</w:t>
      </w:r>
    </w:p>
    <w:p w14:paraId="37D92AC1" w14:textId="77777777" w:rsidR="006A6C13" w:rsidRPr="006A2448" w:rsidRDefault="006A6C13" w:rsidP="006A6C13">
      <w:pPr>
        <w:spacing w:after="0"/>
        <w:ind w:firstLine="567"/>
        <w:jc w:val="both"/>
        <w:rPr>
          <w:rFonts w:ascii="Garamond" w:hAnsi="Garamond"/>
          <w:sz w:val="24"/>
          <w:szCs w:val="24"/>
        </w:rPr>
      </w:pPr>
      <w:r w:rsidRPr="006A2448">
        <w:rPr>
          <w:rFonts w:ascii="Garamond" w:hAnsi="Garamond"/>
          <w:sz w:val="24"/>
          <w:szCs w:val="24"/>
        </w:rPr>
        <w:t>Thus, analysis of the relationship between fatwas, identity politics, and civil society responses reveals a complex dialectic: fatwas can strengthen public ethics while also becoming instruments of political domination. Identity politics can strengthen collective solidarity while also igniting social conflict. The role of civil society becomes a determining factor in whether fatwas will be articulated as a reinforcement of democracy or, conversely, as a justification for exclusivism.</w:t>
      </w:r>
    </w:p>
    <w:p w14:paraId="36B447CE" w14:textId="77777777" w:rsidR="003F46DC" w:rsidRPr="006A2448" w:rsidRDefault="003F46DC" w:rsidP="003F46DC">
      <w:pPr>
        <w:snapToGrid w:val="0"/>
        <w:spacing w:after="0"/>
        <w:jc w:val="both"/>
        <w:rPr>
          <w:rFonts w:ascii="Garamond" w:hAnsi="Garamond"/>
          <w:b/>
          <w:bCs/>
          <w:sz w:val="24"/>
          <w:szCs w:val="24"/>
        </w:rPr>
      </w:pPr>
      <w:r w:rsidRPr="006A2448">
        <w:rPr>
          <w:rFonts w:ascii="Garamond" w:hAnsi="Garamond"/>
          <w:b/>
          <w:bCs/>
          <w:sz w:val="24"/>
          <w:szCs w:val="24"/>
        </w:rPr>
        <w:t>CONCLUSION</w:t>
      </w:r>
    </w:p>
    <w:p w14:paraId="402FD58C"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 xml:space="preserve">This study confirms that fatwas are not merely religious instruments, but an integral part of the dynamics of symbolic power in the formation of public policy in Indonesia. Religious institutions such as the Indonesian Ulema Council (MUI), </w:t>
      </w:r>
      <w:proofErr w:type="spellStart"/>
      <w:r w:rsidRPr="006A2448">
        <w:rPr>
          <w:rFonts w:ascii="Garamond" w:hAnsi="Garamond" w:cstheme="majorBidi"/>
          <w:sz w:val="24"/>
          <w:szCs w:val="24"/>
          <w:lang w:val="en-ID"/>
        </w:rPr>
        <w:t>Nahdlatul</w:t>
      </w:r>
      <w:proofErr w:type="spellEnd"/>
      <w:r w:rsidRPr="006A2448">
        <w:rPr>
          <w:rFonts w:ascii="Garamond" w:hAnsi="Garamond" w:cstheme="majorBidi"/>
          <w:sz w:val="24"/>
          <w:szCs w:val="24"/>
          <w:lang w:val="en-ID"/>
        </w:rPr>
        <w:t xml:space="preserve"> Ulama (NU), and Muhammadiyah have demonstrated their capacity as non-state actors with substantial influence in the legislative process, both directly through consultation and advocacy, and indirectly through the formation of public opinion.</w:t>
      </w:r>
    </w:p>
    <w:p w14:paraId="062032DB"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Fatwas have moral force and social legitimacy that can influence the content and direction of state policy, even though they are not legally binding. Several important policies, such as the Halal Product Guarantee Law, regulations on smoke-free areas, and restrictions on groups considered deviant, show that the state often uses fatwas as a normative basis, either explicitly or implicitly.</w:t>
      </w:r>
    </w:p>
    <w:p w14:paraId="1C4BAA9E"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 xml:space="preserve">However, the dominance of fatwas in the policy sphere also poses serious challenges to the principles of democracy, pluralism, and the protection of minority rights. In the context of a pluralistic society, religious intervention must be regulated through mechanisms that are transparent, accountable, and based on the principle of substantive justice. The state must be careful not to fall into the trap of majority domination based on a single religious interpretation. By combining </w:t>
      </w:r>
      <w:r w:rsidRPr="006A2448">
        <w:rPr>
          <w:rFonts w:ascii="Garamond" w:hAnsi="Garamond" w:cstheme="majorBidi"/>
          <w:i/>
          <w:iCs/>
          <w:sz w:val="24"/>
          <w:szCs w:val="24"/>
          <w:lang w:val="en-ID"/>
        </w:rPr>
        <w:t xml:space="preserve">the policy network </w:t>
      </w:r>
      <w:r w:rsidRPr="006A2448">
        <w:rPr>
          <w:rFonts w:ascii="Garamond" w:hAnsi="Garamond" w:cstheme="majorBidi"/>
          <w:sz w:val="24"/>
          <w:szCs w:val="24"/>
          <w:lang w:val="en-ID"/>
        </w:rPr>
        <w:t xml:space="preserve">and </w:t>
      </w:r>
      <w:r w:rsidRPr="006A2448">
        <w:rPr>
          <w:rFonts w:ascii="Garamond" w:hAnsi="Garamond" w:cstheme="majorBidi"/>
          <w:i/>
          <w:iCs/>
          <w:sz w:val="24"/>
          <w:szCs w:val="24"/>
          <w:lang w:val="en-ID"/>
        </w:rPr>
        <w:t xml:space="preserve">religious authority </w:t>
      </w:r>
      <w:r w:rsidRPr="006A2448">
        <w:rPr>
          <w:rFonts w:ascii="Garamond" w:hAnsi="Garamond" w:cstheme="majorBidi"/>
          <w:sz w:val="24"/>
          <w:szCs w:val="24"/>
          <w:lang w:val="en-ID"/>
        </w:rPr>
        <w:t>approaches</w:t>
      </w:r>
      <w:r w:rsidRPr="006A2448">
        <w:rPr>
          <w:rFonts w:ascii="Garamond" w:hAnsi="Garamond" w:cstheme="majorBidi"/>
          <w:i/>
          <w:iCs/>
          <w:sz w:val="24"/>
          <w:szCs w:val="24"/>
          <w:lang w:val="en-ID"/>
        </w:rPr>
        <w:t xml:space="preserve">, </w:t>
      </w:r>
      <w:r w:rsidRPr="006A2448">
        <w:rPr>
          <w:rFonts w:ascii="Garamond" w:hAnsi="Garamond" w:cstheme="majorBidi"/>
          <w:sz w:val="24"/>
          <w:szCs w:val="24"/>
          <w:lang w:val="en-ID"/>
        </w:rPr>
        <w:t>this study shows that the influence of religious institutions stems not only from their doctrinal power, but also from their ability to build social and political networks and legitimacy in the public sphere. Therefore, constructive and proportional regulation of religious participation in policy making is necessary.</w:t>
      </w:r>
    </w:p>
    <w:p w14:paraId="1DDD2593" w14:textId="77777777" w:rsidR="006A6C13" w:rsidRPr="006A2448" w:rsidRDefault="006A6C13" w:rsidP="006A6C13">
      <w:pPr>
        <w:spacing w:after="0"/>
        <w:ind w:firstLine="567"/>
        <w:jc w:val="both"/>
        <w:rPr>
          <w:rFonts w:ascii="Garamond" w:hAnsi="Garamond" w:cstheme="majorBidi"/>
          <w:sz w:val="24"/>
          <w:szCs w:val="24"/>
          <w:lang w:val="en-ID"/>
        </w:rPr>
      </w:pPr>
      <w:r w:rsidRPr="006A2448">
        <w:rPr>
          <w:rFonts w:ascii="Garamond" w:hAnsi="Garamond" w:cstheme="majorBidi"/>
          <w:sz w:val="24"/>
          <w:szCs w:val="24"/>
          <w:lang w:val="en-ID"/>
        </w:rPr>
        <w:t xml:space="preserve">Implications for Public Policy, (1) Establishment of Regulations on Involvement: Religious involvement in state legislation requires the formulation of clear and transparent legal mechanisms to regulate the extent to which religious institutions can be involved in the legislative and regulatory processes. These mechanisms must include limitations on authority, accountability, and verification procedures for fatwas that will be adopted as the basis for policy; (2) Affirmation of the Principle of Pluralism in Policy Formulation, every policy that refers to fatwas must be tested against standards of pluralism, human rights, and equality of citizens. The government must ensure that no community is marginalized as a result of the use of certain religious interpretations in public policy; (3) Improving Public Literacy on Fatwas and State Law: Education for the public on the position of fatwas in the state legal system needs to be intensified so that the public understands that fatwas are not binding positive law, but normative religious </w:t>
      </w:r>
      <w:r w:rsidRPr="006A2448">
        <w:rPr>
          <w:rFonts w:ascii="Garamond" w:hAnsi="Garamond" w:cstheme="majorBidi"/>
          <w:sz w:val="24"/>
          <w:szCs w:val="24"/>
          <w:lang w:val="en-ID"/>
        </w:rPr>
        <w:lastRenderedPageBreak/>
        <w:t>opinions; (4) Strengthening collaboration between the State, Religious Institutions, and Civil Society. A dialogue forum that brings together these three main actors is very important to ensure that the policies produced are truly inclusive and reflect the values of social justice and diversity; (5) Internal Reform of Religious Institutions: Religious institutions need to conduct internal evaluations to ensure that the fatwa drafting process involves perspectives on gender justice, diversity, and human rights. The involvement of academics, legal experts, and social practitioners needs to be expanded in the fatwa production process and (6) Periodic evaluation of fatwa-based public policies. The government, together with the scientific community and civil society organizations, needs to regularly evaluate fatwa-based policies to assess their impact on social cohesion, citizen equality, and policy effectiveness.</w:t>
      </w:r>
    </w:p>
    <w:p w14:paraId="47F73864" w14:textId="77777777" w:rsidR="006A6C13" w:rsidRPr="006A2448" w:rsidRDefault="006A6C13" w:rsidP="006A6C13">
      <w:pPr>
        <w:spacing w:after="0"/>
        <w:jc w:val="both"/>
        <w:rPr>
          <w:rFonts w:ascii="Garamond" w:hAnsi="Garamond"/>
          <w:b/>
          <w:sz w:val="24"/>
          <w:szCs w:val="24"/>
          <w:lang w:val="en-ID"/>
        </w:rPr>
      </w:pPr>
    </w:p>
    <w:p w14:paraId="56EA5FF5" w14:textId="77777777" w:rsidR="006A6C13" w:rsidRPr="006A2448" w:rsidRDefault="006A6C13" w:rsidP="008320DD">
      <w:pPr>
        <w:snapToGrid w:val="0"/>
        <w:spacing w:after="0"/>
        <w:jc w:val="both"/>
        <w:rPr>
          <w:rFonts w:ascii="Garamond" w:hAnsi="Garamond"/>
          <w:b/>
          <w:bCs/>
          <w:sz w:val="24"/>
          <w:szCs w:val="24"/>
        </w:rPr>
      </w:pPr>
    </w:p>
    <w:p w14:paraId="2058C7C9" w14:textId="78701051" w:rsidR="006A6C13" w:rsidRPr="006A2448" w:rsidRDefault="008320DD" w:rsidP="006A6C13">
      <w:pPr>
        <w:spacing w:after="0"/>
        <w:jc w:val="center"/>
        <w:rPr>
          <w:rFonts w:ascii="Garamond" w:hAnsi="Garamond" w:cs="Times New Roman"/>
          <w:b/>
          <w:sz w:val="24"/>
          <w:szCs w:val="24"/>
        </w:rPr>
      </w:pPr>
      <w:r w:rsidRPr="006A2448">
        <w:rPr>
          <w:rFonts w:ascii="Garamond" w:hAnsi="Garamond" w:cs="Times New Roman"/>
          <w:b/>
          <w:sz w:val="24"/>
          <w:szCs w:val="24"/>
        </w:rPr>
        <w:t>REFERENCE</w:t>
      </w:r>
      <w:r w:rsidR="00012355" w:rsidRPr="006A2448">
        <w:rPr>
          <w:rFonts w:ascii="Garamond" w:hAnsi="Garamond" w:cs="Times New Roman"/>
          <w:b/>
          <w:sz w:val="24"/>
          <w:szCs w:val="24"/>
        </w:rPr>
        <w:t>S</w:t>
      </w:r>
    </w:p>
    <w:p w14:paraId="6BB528AE" w14:textId="77777777" w:rsidR="006A6C13" w:rsidRPr="006A2448" w:rsidRDefault="006A6C13" w:rsidP="006A6C13">
      <w:pPr>
        <w:spacing w:after="0"/>
        <w:jc w:val="center"/>
        <w:rPr>
          <w:rFonts w:ascii="Garamond" w:hAnsi="Garamond" w:cs="Times New Roman"/>
          <w:b/>
          <w:sz w:val="8"/>
          <w:szCs w:val="8"/>
        </w:rPr>
      </w:pPr>
    </w:p>
    <w:p w14:paraId="3F28DD24"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lang w:val="en-ID" w:eastAsia="en-US"/>
        </w:rPr>
        <w:fldChar w:fldCharType="begin"/>
      </w:r>
      <w:r w:rsidRPr="006A2448">
        <w:rPr>
          <w:rFonts w:ascii="Garamond" w:hAnsi="Garamond" w:cstheme="majorBidi"/>
          <w:sz w:val="24"/>
          <w:szCs w:val="24"/>
          <w:lang w:val="en-ID" w:eastAsia="en-US"/>
        </w:rPr>
        <w:instrText xml:space="preserve"> ADDIN ZOTERO_BIBL {"uncited":[],"omitted":[],"custom":[]} CSL_BIBLIOGRAPHY </w:instrText>
      </w:r>
      <w:r w:rsidRPr="006A2448">
        <w:rPr>
          <w:rFonts w:ascii="Garamond" w:hAnsi="Garamond" w:cstheme="majorBidi"/>
          <w:sz w:val="24"/>
          <w:szCs w:val="24"/>
          <w:lang w:val="en-ID" w:eastAsia="en-US"/>
        </w:rPr>
        <w:fldChar w:fldCharType="separate"/>
      </w:r>
      <w:r w:rsidRPr="006A2448">
        <w:rPr>
          <w:rFonts w:ascii="Garamond" w:hAnsi="Garamond" w:cstheme="majorBidi"/>
          <w:sz w:val="24"/>
          <w:szCs w:val="24"/>
        </w:rPr>
        <w:t xml:space="preserve">Aji, Aniko, Jefik Zulfikar Hafizd, and Am'mar Abdullah Arfan. "The Role of Administrative Courts in the Perspective of Fiqh Siyasah to Realize Good Governance." </w:t>
      </w:r>
      <w:r w:rsidRPr="006A2448">
        <w:rPr>
          <w:rFonts w:ascii="Garamond" w:hAnsi="Garamond" w:cstheme="majorBidi"/>
          <w:i/>
          <w:iCs/>
          <w:sz w:val="24"/>
          <w:szCs w:val="24"/>
        </w:rPr>
        <w:t>Hutanasyah: Journal of Constitutional Law</w:t>
      </w:r>
      <w:r w:rsidRPr="006A2448">
        <w:rPr>
          <w:rFonts w:ascii="Garamond" w:hAnsi="Garamond" w:cstheme="majorBidi"/>
          <w:sz w:val="24"/>
          <w:szCs w:val="24"/>
        </w:rPr>
        <w:t xml:space="preserve"> 3, no. 2 (2025): 2. https://doi.org/10.37092/hutanasyah.v3i2.1075.</w:t>
      </w:r>
    </w:p>
    <w:p w14:paraId="1DB89136"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Amrin, Amrin, Suciyani Suciyani, and Nurrahmaniah Nurrahmaniah. “Reconstruction of Ali Yafie’s Thinking in the Field of Social Fiqh in the Development of Islamic Law (Critical Review).” </w:t>
      </w:r>
      <w:r w:rsidRPr="006A2448">
        <w:rPr>
          <w:rFonts w:ascii="Garamond" w:hAnsi="Garamond" w:cstheme="majorBidi"/>
          <w:i/>
          <w:iCs/>
          <w:sz w:val="24"/>
          <w:szCs w:val="24"/>
        </w:rPr>
        <w:t>AL-MANHAJ: Journal of Islamic Law and Social Institutions</w:t>
      </w:r>
      <w:r w:rsidRPr="006A2448">
        <w:rPr>
          <w:rFonts w:ascii="Garamond" w:hAnsi="Garamond" w:cstheme="majorBidi"/>
          <w:sz w:val="24"/>
          <w:szCs w:val="24"/>
        </w:rPr>
        <w:t xml:space="preserve"> 5, no. 1 (2023): 1. https://doi.org/10.37680/almanhaj.v5i1.2341.</w:t>
      </w:r>
    </w:p>
    <w:p w14:paraId="4CA7840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Andi Sani Silwana, Kurniati, and Abd. Rahman R. “The Role of Fatwa in the Formation of Legislation in Indonesia.” </w:t>
      </w:r>
      <w:r w:rsidRPr="006A2448">
        <w:rPr>
          <w:rFonts w:ascii="Garamond" w:hAnsi="Garamond" w:cstheme="majorBidi"/>
          <w:i/>
          <w:iCs/>
          <w:sz w:val="24"/>
          <w:szCs w:val="24"/>
        </w:rPr>
        <w:t>Al-Ubudiyah: Journal of Islamic Education and Studies</w:t>
      </w:r>
      <w:r w:rsidRPr="006A2448">
        <w:rPr>
          <w:rFonts w:ascii="Garamond" w:hAnsi="Garamond" w:cstheme="majorBidi"/>
          <w:sz w:val="24"/>
          <w:szCs w:val="24"/>
        </w:rPr>
        <w:t xml:space="preserve"> 4, no. 1 (2023): 104–10. https://doi.org/10.55623/au.v4i1.177.</w:t>
      </w:r>
    </w:p>
    <w:p w14:paraId="51800DD4"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Andriansyah, Yuli. “Analysis of Fatwas by the National Sharia Board-Indonesian Council of Ulama on the Stock Market.” </w:t>
      </w:r>
      <w:r w:rsidRPr="006A2448">
        <w:rPr>
          <w:rFonts w:ascii="Garamond" w:hAnsi="Garamond" w:cstheme="majorBidi"/>
          <w:i/>
          <w:iCs/>
          <w:sz w:val="24"/>
          <w:szCs w:val="24"/>
        </w:rPr>
        <w:t>Millah: Journal of Religious Studies</w:t>
      </w:r>
      <w:r w:rsidRPr="006A2448">
        <w:rPr>
          <w:rFonts w:ascii="Garamond" w:hAnsi="Garamond" w:cstheme="majorBidi"/>
          <w:sz w:val="24"/>
          <w:szCs w:val="24"/>
        </w:rPr>
        <w:t>, August 30, 2023, 525–52. https://doi.org/10.20885/millah.vol22.iss2.art9.</w:t>
      </w:r>
    </w:p>
    <w:p w14:paraId="389F5455"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Aniko Aji. “The Role of Administrative Courts in Creating Good Governance from the Perspective of Fiqh Siyasah (Case Study of the Semarang Administrative Court).” Diploma, S1-Islamic Constitutional Law UIN SSC, 2024. https://syekhnurjati.ac.id.</w:t>
      </w:r>
    </w:p>
    <w:p w14:paraId="5373244F"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Arifin, Zainal, Tutik Hamidah, Zaenul Mahmudi, and Abd Rouf. “Analysis of Maqasidiyyah on The Compilation of Islamic Law and The Egyptian Al-Wasiyah Law Regarding Wajibah Bequest From Ibn Ashur’s Perspective.” </w:t>
      </w:r>
      <w:r w:rsidRPr="006A2448">
        <w:rPr>
          <w:rFonts w:ascii="Garamond" w:hAnsi="Garamond" w:cstheme="majorBidi"/>
          <w:i/>
          <w:iCs/>
          <w:sz w:val="24"/>
          <w:szCs w:val="24"/>
        </w:rPr>
        <w:t>Muslim Heritage</w:t>
      </w:r>
      <w:r w:rsidRPr="006A2448">
        <w:rPr>
          <w:rFonts w:ascii="Garamond" w:hAnsi="Garamond" w:cstheme="majorBidi"/>
          <w:sz w:val="24"/>
          <w:szCs w:val="24"/>
        </w:rPr>
        <w:t xml:space="preserve"> 10, no. 1 (2025): 1. https://doi.org/10.21154/muslimheritage.v10i1.10733.</w:t>
      </w:r>
    </w:p>
    <w:p w14:paraId="0344C5F7"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Asma, Siti Nor. “The Position of Fiqih Siyasah in Islamic Law.” </w:t>
      </w:r>
      <w:r w:rsidRPr="006A2448">
        <w:rPr>
          <w:rFonts w:ascii="Garamond" w:hAnsi="Garamond" w:cstheme="majorBidi"/>
          <w:i/>
          <w:iCs/>
          <w:sz w:val="24"/>
          <w:szCs w:val="24"/>
        </w:rPr>
        <w:t>Lex Sharia Pacta Sunt Servanda: Journal of Islamic Law and Policy</w:t>
      </w:r>
      <w:r w:rsidRPr="006A2448">
        <w:rPr>
          <w:rFonts w:ascii="Garamond" w:hAnsi="Garamond" w:cstheme="majorBidi"/>
          <w:sz w:val="24"/>
          <w:szCs w:val="24"/>
        </w:rPr>
        <w:t xml:space="preserve"> 1, no. 2 (n.d.). https://journal.alshobar.or.id/index.php/lespass/article/view/269.</w:t>
      </w:r>
    </w:p>
    <w:p w14:paraId="006B515A"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Aswar, Hasbi. “Secular Perspective on The Islamic Political Discourses in Indonesia: A Critical Analysis.” </w:t>
      </w:r>
      <w:r w:rsidRPr="006A2448">
        <w:rPr>
          <w:rFonts w:ascii="Garamond" w:hAnsi="Garamond" w:cstheme="majorBidi"/>
          <w:i/>
          <w:iCs/>
          <w:sz w:val="24"/>
          <w:szCs w:val="24"/>
        </w:rPr>
        <w:t>Journal of Islamic Civilization Studies</w:t>
      </w:r>
      <w:r w:rsidRPr="006A2448">
        <w:rPr>
          <w:rFonts w:ascii="Garamond" w:hAnsi="Garamond" w:cstheme="majorBidi"/>
          <w:sz w:val="24"/>
          <w:szCs w:val="24"/>
        </w:rPr>
        <w:t xml:space="preserve"> 4, no. 2 (2021): 35–41. https://doi.org/10.47076/jkpis.v4i2.64.</w:t>
      </w:r>
    </w:p>
    <w:p w14:paraId="301C9B27"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Azani, Muhammad. “The Development of Islamic Law in Indonesia Through Traditional Theory and Legal Changes.” </w:t>
      </w:r>
      <w:r w:rsidRPr="006A2448">
        <w:rPr>
          <w:rFonts w:ascii="Garamond" w:hAnsi="Garamond" w:cstheme="majorBidi"/>
          <w:i/>
          <w:iCs/>
          <w:sz w:val="24"/>
          <w:szCs w:val="24"/>
        </w:rPr>
        <w:t>Jurnal Mahkamah: Kajian Ilmu Hukum Dan Hukum Islam</w:t>
      </w:r>
      <w:r w:rsidRPr="006A2448">
        <w:rPr>
          <w:rFonts w:ascii="Garamond" w:hAnsi="Garamond" w:cstheme="majorBidi"/>
          <w:sz w:val="24"/>
          <w:szCs w:val="24"/>
        </w:rPr>
        <w:t xml:space="preserve"> 6, no. 2 (2021): 113–28. https://doi.org/10.25217/jm.v6i2.1626.</w:t>
      </w:r>
    </w:p>
    <w:p w14:paraId="5478ED25"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lastRenderedPageBreak/>
        <w:t xml:space="preserve">Azhar, Alias, Muhammad Azam Hussain, Mohd Zakhiri Md Nor, and Mohamad Khairi Othman. “Fatawa Research in the Framework of the Maqasid al-Sharia: An Overview.” </w:t>
      </w:r>
      <w:r w:rsidRPr="006A2448">
        <w:rPr>
          <w:rFonts w:ascii="Garamond" w:hAnsi="Garamond" w:cstheme="majorBidi"/>
          <w:i/>
          <w:iCs/>
          <w:sz w:val="24"/>
          <w:szCs w:val="24"/>
        </w:rPr>
        <w:t>Ulum Islamiyyah</w:t>
      </w:r>
      <w:r w:rsidRPr="006A2448">
        <w:rPr>
          <w:rFonts w:ascii="Garamond" w:hAnsi="Garamond" w:cstheme="majorBidi"/>
          <w:sz w:val="24"/>
          <w:szCs w:val="24"/>
        </w:rPr>
        <w:t xml:space="preserve"> 20 (March 2017): 47–65. https://doi.org/10.33102/uij.vol20no0.40.</w:t>
      </w:r>
    </w:p>
    <w:p w14:paraId="3E2E842A"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Charfi, N., A. Chamseddine, S. Omri, et al. “Epidemiological, Clinical, and Criminological Profile of Sex Offenders: Regarding the Study of a Tunisian Expert Series.” </w:t>
      </w:r>
      <w:r w:rsidRPr="006A2448">
        <w:rPr>
          <w:rFonts w:ascii="Garamond" w:hAnsi="Garamond" w:cstheme="majorBidi"/>
          <w:i/>
          <w:iCs/>
          <w:sz w:val="24"/>
          <w:szCs w:val="24"/>
        </w:rPr>
        <w:t>Archives of Legal Medicine</w:t>
      </w:r>
      <w:r w:rsidRPr="006A2448">
        <w:rPr>
          <w:rFonts w:ascii="Garamond" w:hAnsi="Garamond" w:cstheme="majorBidi"/>
          <w:sz w:val="24"/>
          <w:szCs w:val="24"/>
        </w:rPr>
        <w:t xml:space="preserve"> 16, no. 2 (2025): 200528. https://doi.org/10.1016/j.aolm.2024.200528.</w:t>
      </w:r>
    </w:p>
    <w:p w14:paraId="199107A4"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Chisum, W. Jerry. “Appendix II - Bloodstain Pattern Case Study.” In </w:t>
      </w:r>
      <w:r w:rsidRPr="006A2448">
        <w:rPr>
          <w:rFonts w:ascii="Garamond" w:hAnsi="Garamond" w:cstheme="majorBidi"/>
          <w:i/>
          <w:iCs/>
          <w:sz w:val="24"/>
          <w:szCs w:val="24"/>
        </w:rPr>
        <w:t>Crime Reconstruction (Second Edition)</w:t>
      </w:r>
      <w:r w:rsidRPr="006A2448">
        <w:rPr>
          <w:rFonts w:ascii="Garamond" w:hAnsi="Garamond" w:cstheme="majorBidi"/>
          <w:sz w:val="24"/>
          <w:szCs w:val="24"/>
        </w:rPr>
        <w:t>, edited by W. Jerry Chisum and Brent E. Turvey. Academic Press, 2011. https://doi.org/10.1016/B978-0-12-386460-4.00025-4.</w:t>
      </w:r>
    </w:p>
    <w:p w14:paraId="6BDEE3E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Department, Abdullah M. Al-Ansi$Social and Political Science, UMM, Malang, et al. “Rational Choice of Following Muhammadiyah and Nahdlatul Ulama and Their Social and Political Role in Indonesian Society.” </w:t>
      </w:r>
      <w:r w:rsidRPr="006A2448">
        <w:rPr>
          <w:rFonts w:ascii="Garamond" w:hAnsi="Garamond" w:cstheme="majorBidi"/>
          <w:i/>
          <w:iCs/>
          <w:sz w:val="24"/>
          <w:szCs w:val="24"/>
        </w:rPr>
        <w:t>Open Access Library Journal</w:t>
      </w:r>
      <w:r w:rsidRPr="006A2448">
        <w:rPr>
          <w:rFonts w:ascii="Garamond" w:hAnsi="Garamond" w:cstheme="majorBidi"/>
          <w:sz w:val="24"/>
          <w:szCs w:val="24"/>
        </w:rPr>
        <w:t xml:space="preserve"> 06, no. 11 (2019): 1. https://doi.org/10.4236/oalib.1105829.</w:t>
      </w:r>
    </w:p>
    <w:p w14:paraId="60D955FA"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Fikri, Muhammad Farhan, Zurkarnen Zurkarnen, and Nurliana` Damanik. “The Islamic Political Thought of M. Quraish Shihab in Indonesia: An Analysis.” </w:t>
      </w:r>
      <w:r w:rsidRPr="006A2448">
        <w:rPr>
          <w:rFonts w:ascii="Garamond" w:hAnsi="Garamond" w:cstheme="majorBidi"/>
          <w:i/>
          <w:iCs/>
          <w:sz w:val="24"/>
          <w:szCs w:val="24"/>
        </w:rPr>
        <w:t>Islam &amp;amp; Contemporary Issues</w:t>
      </w:r>
      <w:r w:rsidRPr="006A2448">
        <w:rPr>
          <w:rFonts w:ascii="Garamond" w:hAnsi="Garamond" w:cstheme="majorBidi"/>
          <w:sz w:val="24"/>
          <w:szCs w:val="24"/>
        </w:rPr>
        <w:t xml:space="preserve"> 4, no. 1 (2024): 1. https://doi.org/10.57251/ici.v4i1.1289.</w:t>
      </w:r>
    </w:p>
    <w:p w14:paraId="0CC441D9"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Fikriana, Askana, and M. Kahfi Rezki. “Political Ethics and Qualifications of Legislative Candidates in Elections: A Fiqh Siyasah Perspective.” </w:t>
      </w:r>
      <w:r w:rsidRPr="006A2448">
        <w:rPr>
          <w:rFonts w:ascii="Garamond" w:hAnsi="Garamond" w:cstheme="majorBidi"/>
          <w:i/>
          <w:iCs/>
          <w:sz w:val="24"/>
          <w:szCs w:val="24"/>
        </w:rPr>
        <w:t>ALADALAH: Journal of Politics, Social Sciences, Law, and Humanities</w:t>
      </w:r>
      <w:r w:rsidRPr="006A2448">
        <w:rPr>
          <w:rFonts w:ascii="Garamond" w:hAnsi="Garamond" w:cstheme="majorBidi"/>
          <w:sz w:val="24"/>
          <w:szCs w:val="24"/>
        </w:rPr>
        <w:t xml:space="preserve"> 2, no. 1 (2024): 235–48. https://doi.org/10.59246/aladalah.v2i1.657.</w:t>
      </w:r>
    </w:p>
    <w:p w14:paraId="601ED621"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Ghaemi Asl, Mahdi. “An AI-Optimized Strategy for Intelligent Risk Mapping of Islamic and Conventional Sustainable Markets: Assessing the Enduring Dynamics of Technological Risk Spillovers.” </w:t>
      </w:r>
      <w:r w:rsidRPr="006A2448">
        <w:rPr>
          <w:rFonts w:ascii="Garamond" w:hAnsi="Garamond" w:cstheme="majorBidi"/>
          <w:i/>
          <w:iCs/>
          <w:sz w:val="24"/>
          <w:szCs w:val="24"/>
        </w:rPr>
        <w:t>Expert Systems with Applications</w:t>
      </w:r>
      <w:r w:rsidRPr="006A2448">
        <w:rPr>
          <w:rFonts w:ascii="Garamond" w:hAnsi="Garamond" w:cstheme="majorBidi"/>
          <w:sz w:val="24"/>
          <w:szCs w:val="24"/>
        </w:rPr>
        <w:t xml:space="preserve"> 296 (January 2025): 128945. https://doi.org/10.1016/j.eswa.2025.128945.</w:t>
      </w:r>
    </w:p>
    <w:p w14:paraId="1A09A7F3"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Haddad, Achraf, and Mohamed Naceur Souissi. “The Impact of Shariah Advisory Board Characteristics on the Financial Performance of Islamic Banks.” </w:t>
      </w:r>
      <w:r w:rsidRPr="006A2448">
        <w:rPr>
          <w:rFonts w:ascii="Garamond" w:hAnsi="Garamond" w:cstheme="majorBidi"/>
          <w:i/>
          <w:iCs/>
          <w:sz w:val="24"/>
          <w:szCs w:val="24"/>
        </w:rPr>
        <w:t>Cogent Economics &amp; Finance</w:t>
      </w:r>
      <w:r w:rsidRPr="006A2448">
        <w:rPr>
          <w:rFonts w:ascii="Garamond" w:hAnsi="Garamond" w:cstheme="majorBidi"/>
          <w:sz w:val="24"/>
          <w:szCs w:val="24"/>
        </w:rPr>
        <w:t>, Cogent, December 31, 2022. world. https://www.tandfonline.com/doi/abs/10.1080/23322039.2022.2062911.</w:t>
      </w:r>
    </w:p>
    <w:p w14:paraId="7F7CE7B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Hasanudin, Hasanudin, Jaih Mubarok, and Muhammad Al-Fayyad Maulana. “Progressiveness of Islamic Economic Law in Indonesia: The Murā‘at Al-‘Ilal Wa Al-Ma</w:t>
      </w:r>
      <w:r w:rsidRPr="006A2448">
        <w:rPr>
          <w:rFonts w:ascii="Cambria" w:hAnsi="Cambria" w:cs="Cambria"/>
          <w:sz w:val="24"/>
          <w:szCs w:val="24"/>
        </w:rPr>
        <w:t>ṣ</w:t>
      </w:r>
      <w:r w:rsidRPr="006A2448">
        <w:rPr>
          <w:rFonts w:ascii="Garamond" w:hAnsi="Garamond" w:cs="Garamond"/>
          <w:sz w:val="24"/>
          <w:szCs w:val="24"/>
        </w:rPr>
        <w:t>ā</w:t>
      </w:r>
      <w:r w:rsidRPr="006A2448">
        <w:rPr>
          <w:rFonts w:ascii="Garamond" w:hAnsi="Garamond" w:cstheme="majorBidi"/>
          <w:sz w:val="24"/>
          <w:szCs w:val="24"/>
        </w:rPr>
        <w:t>li</w:t>
      </w:r>
      <w:r w:rsidRPr="006A2448">
        <w:rPr>
          <w:rFonts w:ascii="Cambria" w:hAnsi="Cambria" w:cs="Cambria"/>
          <w:sz w:val="24"/>
          <w:szCs w:val="24"/>
        </w:rPr>
        <w:t>ḥ</w:t>
      </w:r>
      <w:r w:rsidRPr="006A2448">
        <w:rPr>
          <w:rFonts w:ascii="Garamond" w:hAnsi="Garamond" w:cstheme="majorBidi"/>
          <w:sz w:val="24"/>
          <w:szCs w:val="24"/>
        </w:rPr>
        <w:t xml:space="preserve"> Approach.</w:t>
      </w:r>
      <w:r w:rsidRPr="006A2448">
        <w:rPr>
          <w:rFonts w:ascii="Garamond" w:hAnsi="Garamond" w:cs="Garamond"/>
          <w:sz w:val="24"/>
          <w:szCs w:val="24"/>
        </w:rPr>
        <w:t>”</w:t>
      </w:r>
      <w:r w:rsidRPr="006A2448">
        <w:rPr>
          <w:rFonts w:ascii="Garamond" w:hAnsi="Garamond" w:cstheme="majorBidi"/>
          <w:sz w:val="24"/>
          <w:szCs w:val="24"/>
        </w:rPr>
        <w:t xml:space="preserve"> </w:t>
      </w:r>
      <w:r w:rsidRPr="006A2448">
        <w:rPr>
          <w:rFonts w:ascii="Garamond" w:hAnsi="Garamond" w:cstheme="majorBidi"/>
          <w:i/>
          <w:iCs/>
          <w:sz w:val="24"/>
          <w:szCs w:val="24"/>
        </w:rPr>
        <w:t>Samarah: Jurnal Hukum Keluarga Dan Hukum Islam</w:t>
      </w:r>
      <w:r w:rsidRPr="006A2448">
        <w:rPr>
          <w:rFonts w:ascii="Garamond" w:hAnsi="Garamond" w:cstheme="majorBidi"/>
          <w:sz w:val="24"/>
          <w:szCs w:val="24"/>
        </w:rPr>
        <w:t xml:space="preserve"> 7, no. 2 (2023): 1267–92. https://doi.org/10.22373/sjhk.v7i2.17601.</w:t>
      </w:r>
    </w:p>
    <w:p w14:paraId="75D1905F"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Hosaini, and Muhammad Ihyaul Fikro. “The Indonesian State from an Islamic Perspective: As a Form of Strengthening Nationalism.” </w:t>
      </w:r>
      <w:r w:rsidRPr="006A2448">
        <w:rPr>
          <w:rFonts w:ascii="Garamond" w:hAnsi="Garamond" w:cstheme="majorBidi"/>
          <w:i/>
          <w:iCs/>
          <w:sz w:val="24"/>
          <w:szCs w:val="24"/>
        </w:rPr>
        <w:t>Moderasi</w:t>
      </w:r>
      <w:r w:rsidRPr="006A2448">
        <w:rPr>
          <w:rFonts w:ascii="Times New Roman" w:hAnsi="Times New Roman"/>
          <w:i/>
          <w:iCs/>
          <w:sz w:val="24"/>
          <w:szCs w:val="24"/>
        </w:rPr>
        <w:t> </w:t>
      </w:r>
      <w:r w:rsidRPr="006A2448">
        <w:rPr>
          <w:rFonts w:ascii="Garamond" w:hAnsi="Garamond" w:cstheme="majorBidi"/>
          <w:i/>
          <w:iCs/>
          <w:sz w:val="24"/>
          <w:szCs w:val="24"/>
        </w:rPr>
        <w:t>: Journal of Islamic Studies</w:t>
      </w:r>
      <w:r w:rsidRPr="006A2448">
        <w:rPr>
          <w:rFonts w:ascii="Garamond" w:hAnsi="Garamond" w:cstheme="majorBidi"/>
          <w:sz w:val="24"/>
          <w:szCs w:val="24"/>
        </w:rPr>
        <w:t xml:space="preserve"> 1, no. 2 (2021): 2. https://doi.org/10.54471/moderasi.v1i2.12.</w:t>
      </w:r>
    </w:p>
    <w:p w14:paraId="039C7E55"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Huang, Heye, Zheng Li, Hao Cheng, et al. “Understanding Driver Cognition and Decision-Making Behaviors in High-Risk Scenarios: A Drift Diffusion Perspective.” </w:t>
      </w:r>
      <w:r w:rsidRPr="006A2448">
        <w:rPr>
          <w:rFonts w:ascii="Garamond" w:hAnsi="Garamond" w:cstheme="majorBidi"/>
          <w:i/>
          <w:iCs/>
          <w:sz w:val="24"/>
          <w:szCs w:val="24"/>
        </w:rPr>
        <w:t>Accident Analysis &amp; Prevention</w:t>
      </w:r>
      <w:r w:rsidRPr="006A2448">
        <w:rPr>
          <w:rFonts w:ascii="Garamond" w:hAnsi="Garamond" w:cstheme="majorBidi"/>
          <w:sz w:val="24"/>
          <w:szCs w:val="24"/>
        </w:rPr>
        <w:t xml:space="preserve"> 220 (September 2025): 108123. https://doi.org/10.1016/j.aap.2025.108123.</w:t>
      </w:r>
    </w:p>
    <w:p w14:paraId="25A7330F"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Ipandang, Ipandang. “UNDERSTANDING THE MEANING OF GOD’S LEGISLATION: Critical Analysis of Islamic Law Reasoning Criticism in Indonesia.” </w:t>
      </w:r>
      <w:r w:rsidRPr="006A2448">
        <w:rPr>
          <w:rFonts w:ascii="Garamond" w:hAnsi="Garamond" w:cstheme="majorBidi"/>
          <w:i/>
          <w:iCs/>
          <w:sz w:val="24"/>
          <w:szCs w:val="24"/>
        </w:rPr>
        <w:t>Jurisdictie: Jurnal Hukum Dan Syariah</w:t>
      </w:r>
      <w:r w:rsidRPr="006A2448">
        <w:rPr>
          <w:rFonts w:ascii="Garamond" w:hAnsi="Garamond" w:cstheme="majorBidi"/>
          <w:sz w:val="24"/>
          <w:szCs w:val="24"/>
        </w:rPr>
        <w:t xml:space="preserve"> 11, no. 2 (2020): 2. https://doi.org/10.18860/j.v11i2.9913.</w:t>
      </w:r>
    </w:p>
    <w:p w14:paraId="1A5E986C"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Izmuddin, Iiz, Euis Amalia, Mohamad Abdun Nasir, and Farid Muttaqin. “The Legitimation of Religion in Profit Seeking: The Role of National Shari‘āh Division of The Indonesian Muslim Council (DSN-MUI).” </w:t>
      </w:r>
      <w:r w:rsidRPr="006A2448">
        <w:rPr>
          <w:rFonts w:ascii="Garamond" w:hAnsi="Garamond" w:cstheme="majorBidi"/>
          <w:i/>
          <w:iCs/>
          <w:sz w:val="24"/>
          <w:szCs w:val="24"/>
        </w:rPr>
        <w:t>Samarah: Journal of Family Law and Islamic Law</w:t>
      </w:r>
      <w:r w:rsidRPr="006A2448">
        <w:rPr>
          <w:rFonts w:ascii="Garamond" w:hAnsi="Garamond" w:cstheme="majorBidi"/>
          <w:sz w:val="24"/>
          <w:szCs w:val="24"/>
        </w:rPr>
        <w:t xml:space="preserve"> 7, no. 2 (2023): 781–800. https://doi.org/10.22373/sjhk.v7i2.15835.</w:t>
      </w:r>
    </w:p>
    <w:p w14:paraId="3A0A362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lastRenderedPageBreak/>
        <w:t xml:space="preserve">Kamsi, Kamsi. “THE IMAGE OF ISLAMIC POLITICAL MOVEMENTS IN THE HISTORY OF INDONESIAN POLITICS (A Study of the Pre-Independence Era to the New Order Era).” </w:t>
      </w:r>
      <w:r w:rsidRPr="006A2448">
        <w:rPr>
          <w:rFonts w:ascii="Garamond" w:hAnsi="Garamond" w:cstheme="majorBidi"/>
          <w:i/>
          <w:iCs/>
          <w:sz w:val="24"/>
          <w:szCs w:val="24"/>
        </w:rPr>
        <w:t>Millah: Journal of Religious Studies</w:t>
      </w:r>
      <w:r w:rsidRPr="006A2448">
        <w:rPr>
          <w:rFonts w:ascii="Garamond" w:hAnsi="Garamond" w:cstheme="majorBidi"/>
          <w:sz w:val="24"/>
          <w:szCs w:val="24"/>
        </w:rPr>
        <w:t xml:space="preserve"> 13, no. 1 (2021): 109–54. https://doi.org/10.20885/millah.vol12.iss3.art6</w:t>
      </w:r>
    </w:p>
    <w:p w14:paraId="34CB9A75"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Kappeler, Victor E., and Larry K. Gaines. “Chapter 1 - The Idea of Community Policing.” In </w:t>
      </w:r>
      <w:r w:rsidRPr="006A2448">
        <w:rPr>
          <w:rFonts w:ascii="Garamond" w:hAnsi="Garamond" w:cstheme="majorBidi"/>
          <w:i/>
          <w:iCs/>
          <w:sz w:val="24"/>
          <w:szCs w:val="24"/>
        </w:rPr>
        <w:t>Community Policing (Fifth Edition)</w:t>
      </w:r>
      <w:r w:rsidRPr="006A2448">
        <w:rPr>
          <w:rFonts w:ascii="Garamond" w:hAnsi="Garamond" w:cstheme="majorBidi"/>
          <w:sz w:val="24"/>
          <w:szCs w:val="24"/>
        </w:rPr>
        <w:t>, edited by Victor E. Kappeler and Larry K. Gaines. Anderson Publishing, Ltd., 2009. https://doi.org/10.1016/B978-1-59345-511-8.50005-9.</w:t>
      </w:r>
    </w:p>
    <w:p w14:paraId="01F147C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Karimullah, Suud Sarim. “Religion and State in the Islamic Political Paradigm in Indonesia Perspective of Prof. Kamsi.” </w:t>
      </w:r>
      <w:r w:rsidRPr="006A2448">
        <w:rPr>
          <w:rFonts w:ascii="Garamond" w:hAnsi="Garamond" w:cstheme="majorBidi"/>
          <w:i/>
          <w:iCs/>
          <w:sz w:val="24"/>
          <w:szCs w:val="24"/>
        </w:rPr>
        <w:t>Analisis: Jurnal Studi Keislaman</w:t>
      </w:r>
      <w:r w:rsidRPr="006A2448">
        <w:rPr>
          <w:rFonts w:ascii="Garamond" w:hAnsi="Garamond" w:cstheme="majorBidi"/>
          <w:sz w:val="24"/>
          <w:szCs w:val="24"/>
        </w:rPr>
        <w:t xml:space="preserve"> 22, no. 1 (2022): 53–74. https://doi.org/10.24042/ajsk.v22i1.12648.</w:t>
      </w:r>
    </w:p>
    <w:p w14:paraId="205A9B5F"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Khatimah, Khusnul, Jamilah Jamilah, Atiqah Amalya Azzahra, Diva Fitaloka Otaviani, and Surya Sukti. “The Pancasila State in the Perspective of Fikih Siyasah.” </w:t>
      </w:r>
      <w:r w:rsidRPr="006A2448">
        <w:rPr>
          <w:rFonts w:ascii="Garamond" w:hAnsi="Garamond" w:cstheme="majorBidi"/>
          <w:i/>
          <w:iCs/>
          <w:sz w:val="24"/>
          <w:szCs w:val="24"/>
        </w:rPr>
        <w:t>Innovative: Journal of Social Science Research</w:t>
      </w:r>
      <w:r w:rsidRPr="006A2448">
        <w:rPr>
          <w:rFonts w:ascii="Garamond" w:hAnsi="Garamond" w:cstheme="majorBidi"/>
          <w:sz w:val="24"/>
          <w:szCs w:val="24"/>
        </w:rPr>
        <w:t xml:space="preserve"> 4, no. 3 (2024): 3. https://doi.org/10.31004/innovative.v4i3.11501.</w:t>
      </w:r>
    </w:p>
    <w:p w14:paraId="4F074057"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Li, Lin. “Chapter 1 - Democracy and the Rule of Law in Contemporary China.” In </w:t>
      </w:r>
      <w:r w:rsidRPr="006A2448">
        <w:rPr>
          <w:rFonts w:ascii="Garamond" w:hAnsi="Garamond" w:cstheme="majorBidi"/>
          <w:i/>
          <w:iCs/>
          <w:sz w:val="24"/>
          <w:szCs w:val="24"/>
        </w:rPr>
        <w:t>Building the Rule of Law in China</w:t>
      </w:r>
      <w:r w:rsidRPr="006A2448">
        <w:rPr>
          <w:rFonts w:ascii="Garamond" w:hAnsi="Garamond" w:cstheme="majorBidi"/>
          <w:sz w:val="24"/>
          <w:szCs w:val="24"/>
        </w:rPr>
        <w:t>, edited by Lin Li. Elsevier, 2017. https://doi.org/10.1016/B978-0-12-811930-3.00001-5.</w:t>
      </w:r>
    </w:p>
    <w:p w14:paraId="643C1641"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Mappasessu Mappasessu. “Analysis of the Theory of the Enactment of Islamic Law: Implications and Challenges in Indonesia.” </w:t>
      </w:r>
      <w:r w:rsidRPr="006A2448">
        <w:rPr>
          <w:rFonts w:ascii="Garamond" w:hAnsi="Garamond" w:cstheme="majorBidi"/>
          <w:i/>
          <w:iCs/>
          <w:sz w:val="24"/>
          <w:szCs w:val="24"/>
        </w:rPr>
        <w:t>JHK: Journal of Law and Justice</w:t>
      </w:r>
      <w:r w:rsidRPr="006A2448">
        <w:rPr>
          <w:rFonts w:ascii="Garamond" w:hAnsi="Garamond" w:cstheme="majorBidi"/>
          <w:sz w:val="24"/>
          <w:szCs w:val="24"/>
        </w:rPr>
        <w:t xml:space="preserve"> 1, no. 4 (n.d.). https://doi.org/10.61942/jhk.v1i4.175.</w:t>
      </w:r>
    </w:p>
    <w:p w14:paraId="702EB4D8"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Mas’udi, Moh. “Muhammadiyah and Nahdlatul Ulama Contribution to The Islamic Economics Development in Indonesia.” </w:t>
      </w:r>
      <w:r w:rsidRPr="006A2448">
        <w:rPr>
          <w:rFonts w:ascii="Garamond" w:hAnsi="Garamond" w:cstheme="majorBidi"/>
          <w:i/>
          <w:iCs/>
          <w:sz w:val="24"/>
          <w:szCs w:val="24"/>
        </w:rPr>
        <w:t>Afkaruna: Indonesian Interdisciplinary Journal of Islamic Studies</w:t>
      </w:r>
      <w:r w:rsidRPr="006A2448">
        <w:rPr>
          <w:rFonts w:ascii="Garamond" w:hAnsi="Garamond" w:cstheme="majorBidi"/>
          <w:sz w:val="24"/>
          <w:szCs w:val="24"/>
        </w:rPr>
        <w:t xml:space="preserve"> 19, no. 1 (2023): 109–22. https://doi.org/10.18196/afkaruna.v19i1.17820.</w:t>
      </w:r>
    </w:p>
    <w:p w14:paraId="4ADCBEA0"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Mudzhar, M. Atho. “The Study of Sharia Sciences in Higher Education: Has it Responded to the Demands of Society?” </w:t>
      </w:r>
      <w:r w:rsidRPr="006A2448">
        <w:rPr>
          <w:rFonts w:ascii="Garamond" w:hAnsi="Garamond" w:cstheme="majorBidi"/>
          <w:i/>
          <w:iCs/>
          <w:sz w:val="24"/>
          <w:szCs w:val="24"/>
        </w:rPr>
        <w:t>Asy-Syir’ah: Journal of Sharia and Law</w:t>
      </w:r>
      <w:r w:rsidRPr="006A2448">
        <w:rPr>
          <w:rFonts w:ascii="Garamond" w:hAnsi="Garamond" w:cstheme="majorBidi"/>
          <w:sz w:val="24"/>
          <w:szCs w:val="24"/>
        </w:rPr>
        <w:t xml:space="preserve"> 46, no. 2 (2012): 2. https://doi.org/10.14421/ajish.v46i2.43.</w:t>
      </w:r>
    </w:p>
    <w:p w14:paraId="1189D938"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Mu’iz, Dzikrul Hakim Tafuzi, Nasrulloh Nasrulloh, Pepy Marwinata, and Mursyidatul Mahsunah. “The Relationship Between Religion, Politics, and the State in Indonesia: A Comparative Study of Soekarno and Abdurrahman Wahid.” </w:t>
      </w:r>
      <w:r w:rsidRPr="006A2448">
        <w:rPr>
          <w:rFonts w:ascii="Garamond" w:hAnsi="Garamond" w:cstheme="majorBidi"/>
          <w:i/>
          <w:iCs/>
          <w:sz w:val="24"/>
          <w:szCs w:val="24"/>
        </w:rPr>
        <w:t>Abdurrauf Journal of Islamic Studies</w:t>
      </w:r>
      <w:r w:rsidRPr="006A2448">
        <w:rPr>
          <w:rFonts w:ascii="Garamond" w:hAnsi="Garamond" w:cstheme="majorBidi"/>
          <w:sz w:val="24"/>
          <w:szCs w:val="24"/>
        </w:rPr>
        <w:t xml:space="preserve"> 3, no. 3 (2024): 3. https://doi.org/10.58824/arjis.v3i3.174.</w:t>
      </w:r>
    </w:p>
    <w:p w14:paraId="705EEBB1"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Muta’allim. “Kh. Hasyim Muzadi’s Language Politeness Strategies in Responding to the Different Perspectives Between Nahdlatul Ulama and Muhammadiyah: A Sociopragmatic Study.” </w:t>
      </w:r>
      <w:r w:rsidRPr="006A2448">
        <w:rPr>
          <w:rFonts w:ascii="Garamond" w:hAnsi="Garamond" w:cstheme="majorBidi"/>
          <w:i/>
          <w:iCs/>
          <w:sz w:val="24"/>
          <w:szCs w:val="24"/>
        </w:rPr>
        <w:t>Muslim Heritage</w:t>
      </w:r>
      <w:r w:rsidRPr="006A2448">
        <w:rPr>
          <w:rFonts w:ascii="Garamond" w:hAnsi="Garamond" w:cstheme="majorBidi"/>
          <w:sz w:val="24"/>
          <w:szCs w:val="24"/>
        </w:rPr>
        <w:t xml:space="preserve"> 10, no. 1 (2025): 1. https://doi.org/10.21154/muslimheritage.v10i1.10951.</w:t>
      </w:r>
    </w:p>
    <w:p w14:paraId="0484E7E8"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Najib, Agus Moh. “The Methodology of Indonesian Madhhab Ijtihad: Tracing the Thoughts of Hazairin on Usul al-Fiqh.” </w:t>
      </w:r>
      <w:r w:rsidRPr="006A2448">
        <w:rPr>
          <w:rFonts w:ascii="Garamond" w:hAnsi="Garamond" w:cstheme="majorBidi"/>
          <w:i/>
          <w:iCs/>
          <w:sz w:val="24"/>
          <w:szCs w:val="24"/>
        </w:rPr>
        <w:t>Asy-Syir’ah: Journal of Sharia and Law</w:t>
      </w:r>
      <w:r w:rsidRPr="006A2448">
        <w:rPr>
          <w:rFonts w:ascii="Garamond" w:hAnsi="Garamond" w:cstheme="majorBidi"/>
          <w:sz w:val="24"/>
          <w:szCs w:val="24"/>
        </w:rPr>
        <w:t xml:space="preserve"> 50, no. 1 (2021): 1. https://doi.org/10.14421/ajish.v50i1.162.</w:t>
      </w:r>
    </w:p>
    <w:p w14:paraId="79C15378"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Nasution, Faiz Albar. “Implications of Religious Fatwa on the Implementation of the COVID-19 Policy in Indonesia.” </w:t>
      </w:r>
      <w:r w:rsidRPr="006A2448">
        <w:rPr>
          <w:rFonts w:ascii="Garamond" w:hAnsi="Garamond" w:cstheme="majorBidi"/>
          <w:i/>
          <w:iCs/>
          <w:sz w:val="24"/>
          <w:szCs w:val="24"/>
        </w:rPr>
        <w:t>Pharos Journal of Theology</w:t>
      </w:r>
      <w:r w:rsidRPr="006A2448">
        <w:rPr>
          <w:rFonts w:ascii="Garamond" w:hAnsi="Garamond" w:cstheme="majorBidi"/>
          <w:sz w:val="24"/>
          <w:szCs w:val="24"/>
        </w:rPr>
        <w:t>, no. 104(3) (June 2023). https://doi.org/10.46222/pharosjot.104.320.</w:t>
      </w:r>
    </w:p>
    <w:p w14:paraId="08AC1889"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Nurdin, Ahmad Ali. “Revisiting Discourse on Islam and State Relation in Indonesia: The View of Soekarno, Natsir and Nurcholish Madjid.” </w:t>
      </w:r>
      <w:r w:rsidRPr="006A2448">
        <w:rPr>
          <w:rFonts w:ascii="Garamond" w:hAnsi="Garamond" w:cstheme="majorBidi"/>
          <w:i/>
          <w:iCs/>
          <w:sz w:val="24"/>
          <w:szCs w:val="24"/>
        </w:rPr>
        <w:t>Indonesian Journal of Islam and Muslim Societies</w:t>
      </w:r>
      <w:r w:rsidRPr="006A2448">
        <w:rPr>
          <w:rFonts w:ascii="Garamond" w:hAnsi="Garamond" w:cstheme="majorBidi"/>
          <w:sz w:val="24"/>
          <w:szCs w:val="24"/>
        </w:rPr>
        <w:t xml:space="preserve"> 6, no. 1 (2023): 1. https://doi.org/10.18326/ijims.v6i1.63-92.</w:t>
      </w:r>
    </w:p>
    <w:p w14:paraId="4D35EFA6"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Pangestuti, Diah Sari. “The Role of Police Institutions in the Perspective of Fiqh Siyasah.” </w:t>
      </w:r>
      <w:r w:rsidRPr="006A2448">
        <w:rPr>
          <w:rFonts w:ascii="Garamond" w:hAnsi="Garamond" w:cstheme="majorBidi"/>
          <w:i/>
          <w:iCs/>
          <w:sz w:val="24"/>
          <w:szCs w:val="24"/>
        </w:rPr>
        <w:t>Al-Qanun: Journal of Islamic Legal Thought and Reform</w:t>
      </w:r>
      <w:r w:rsidRPr="006A2448">
        <w:rPr>
          <w:rFonts w:ascii="Garamond" w:hAnsi="Garamond" w:cstheme="majorBidi"/>
          <w:sz w:val="24"/>
          <w:szCs w:val="24"/>
        </w:rPr>
        <w:t xml:space="preserve"> 22, no. 2 (2019): 2. https://doi.org/10.15642/alqanun.2019.22.2.401-423.</w:t>
      </w:r>
    </w:p>
    <w:p w14:paraId="29378FC5"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lastRenderedPageBreak/>
        <w:t xml:space="preserve">Qodir, Zuly, and Bilveer Singh. “The Contestation of Contemporary Islam: Conservative Islam versus Progressive Islam.” </w:t>
      </w:r>
      <w:r w:rsidRPr="006A2448">
        <w:rPr>
          <w:rFonts w:ascii="Garamond" w:hAnsi="Garamond" w:cstheme="majorBidi"/>
          <w:i/>
          <w:iCs/>
          <w:sz w:val="24"/>
          <w:szCs w:val="24"/>
        </w:rPr>
        <w:t>ESENSIA: Journal of Ushuluddin Sciences</w:t>
      </w:r>
      <w:r w:rsidRPr="006A2448">
        <w:rPr>
          <w:rFonts w:ascii="Garamond" w:hAnsi="Garamond" w:cstheme="majorBidi"/>
          <w:sz w:val="24"/>
          <w:szCs w:val="24"/>
        </w:rPr>
        <w:t xml:space="preserve"> 23, no. 2 (2022): 2. https://doi.org/10.14421/esensia.v23i2.4316.</w:t>
      </w:r>
    </w:p>
    <w:p w14:paraId="53933196"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Rahman, Rahman, Efendi Sugianto, Wasalmi Wasalmi, Muhammad Asriady, and Ahmad Fauzi. “Hadith Interpretation of Law and Justice and Its Implementation as an Alternative Solution Rule of Law Enforcement In Indonesian.” </w:t>
      </w:r>
      <w:r w:rsidRPr="006A2448">
        <w:rPr>
          <w:rFonts w:ascii="Garamond" w:hAnsi="Garamond" w:cstheme="majorBidi"/>
          <w:i/>
          <w:iCs/>
          <w:sz w:val="24"/>
          <w:szCs w:val="24"/>
        </w:rPr>
        <w:t>Muslim Heritage</w:t>
      </w:r>
      <w:r w:rsidRPr="006A2448">
        <w:rPr>
          <w:rFonts w:ascii="Garamond" w:hAnsi="Garamond" w:cstheme="majorBidi"/>
          <w:sz w:val="24"/>
          <w:szCs w:val="24"/>
        </w:rPr>
        <w:t xml:space="preserve"> 8, no. 2 (2023): 2. https://doi.org/10.21154/muslimheritage.v8i2.7214.</w:t>
      </w:r>
    </w:p>
    <w:p w14:paraId="50E22A19"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Rasyid, Muhammad, Akh Fauzi Aseri, Sukarni Sukarni, and Muhsin Aseri. “Scientific Consideration in the Concept of Islamic Law in Indonesia: A Study on The Fatwas of Falakiyah Of MUI.” </w:t>
      </w:r>
      <w:r w:rsidRPr="006A2448">
        <w:rPr>
          <w:rFonts w:ascii="Garamond" w:hAnsi="Garamond" w:cstheme="majorBidi"/>
          <w:i/>
          <w:iCs/>
          <w:sz w:val="24"/>
          <w:szCs w:val="24"/>
        </w:rPr>
        <w:t>Al-Daulah: Jurnal Hukum Dan Perundangan Islam</w:t>
      </w:r>
      <w:r w:rsidRPr="006A2448">
        <w:rPr>
          <w:rFonts w:ascii="Garamond" w:hAnsi="Garamond" w:cstheme="majorBidi"/>
          <w:sz w:val="24"/>
          <w:szCs w:val="24"/>
        </w:rPr>
        <w:t xml:space="preserve"> 13, no. 2 (2023): 2. https://doi.org/10.15642/ad.2023.13.2.202-229.</w:t>
      </w:r>
    </w:p>
    <w:p w14:paraId="0F75DC6C"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Rezki, Sri, and Amril M. “The Transformation of Islamic State Administration: A Historical Analysis of Umar Bin Khattab’s Political Ijtihad.” </w:t>
      </w:r>
      <w:r w:rsidRPr="006A2448">
        <w:rPr>
          <w:rFonts w:ascii="Garamond" w:hAnsi="Garamond" w:cstheme="majorBidi"/>
          <w:i/>
          <w:iCs/>
          <w:sz w:val="24"/>
          <w:szCs w:val="24"/>
        </w:rPr>
        <w:t>Takuana: Journal of Education, Science, and Humanities</w:t>
      </w:r>
      <w:r w:rsidRPr="006A2448">
        <w:rPr>
          <w:rFonts w:ascii="Garamond" w:hAnsi="Garamond" w:cstheme="majorBidi"/>
          <w:sz w:val="24"/>
          <w:szCs w:val="24"/>
        </w:rPr>
        <w:t xml:space="preserve"> 4, no. 1 (2025): 68–81. https://doi.org/10.56113/takuana.v4i1.127</w:t>
      </w:r>
    </w:p>
    <w:p w14:paraId="3795DED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Robin, Joey. “The Right to Refuse Medical Treatment Invoked by a Person Suffering from Mental Influence.” </w:t>
      </w:r>
      <w:r w:rsidRPr="006A2448">
        <w:rPr>
          <w:rFonts w:ascii="Garamond" w:hAnsi="Garamond" w:cstheme="majorBidi"/>
          <w:i/>
          <w:iCs/>
          <w:sz w:val="24"/>
          <w:szCs w:val="24"/>
        </w:rPr>
        <w:t>Law, Ethics &amp;amp; Care</w:t>
      </w:r>
      <w:r w:rsidRPr="006A2448">
        <w:rPr>
          <w:rFonts w:ascii="Garamond" w:hAnsi="Garamond" w:cstheme="majorBidi"/>
          <w:sz w:val="24"/>
          <w:szCs w:val="24"/>
        </w:rPr>
        <w:t xml:space="preserve"> 21, no. 4 (2021): 532–39. https://doi.org/10.1016/j.ddes.2021.10.019.</w:t>
      </w:r>
    </w:p>
    <w:p w14:paraId="0B91F1FD"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Rofii, Ahmad. “Constitutional Limits of Islamic Law: God in the Preamble to the Indonesian Constitution.” </w:t>
      </w:r>
      <w:r w:rsidRPr="006A2448">
        <w:rPr>
          <w:rFonts w:ascii="Garamond" w:hAnsi="Garamond" w:cstheme="majorBidi"/>
          <w:i/>
          <w:iCs/>
          <w:sz w:val="24"/>
          <w:szCs w:val="24"/>
        </w:rPr>
        <w:t>Journal of Law, Religion and State</w:t>
      </w:r>
      <w:r w:rsidRPr="006A2448">
        <w:rPr>
          <w:rFonts w:ascii="Garamond" w:hAnsi="Garamond" w:cstheme="majorBidi"/>
          <w:sz w:val="24"/>
          <w:szCs w:val="24"/>
        </w:rPr>
        <w:t xml:space="preserve"> 5, no. 2 (2023). https://doi.org/10.1163/22124810-11010001.</w:t>
      </w:r>
    </w:p>
    <w:p w14:paraId="78FD2643"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Safudin, Endrik, and Sesario Aulia. “Maslahah Mursalah in Ultra Petita Decision of The Constitutional Court.” </w:t>
      </w:r>
      <w:r w:rsidRPr="006A2448">
        <w:rPr>
          <w:rFonts w:ascii="Garamond" w:hAnsi="Garamond" w:cstheme="majorBidi"/>
          <w:i/>
          <w:iCs/>
          <w:sz w:val="24"/>
          <w:szCs w:val="24"/>
        </w:rPr>
        <w:t>Muslim Heritage</w:t>
      </w:r>
      <w:r w:rsidRPr="006A2448">
        <w:rPr>
          <w:rFonts w:ascii="Garamond" w:hAnsi="Garamond" w:cstheme="majorBidi"/>
          <w:sz w:val="24"/>
          <w:szCs w:val="24"/>
        </w:rPr>
        <w:t xml:space="preserve"> 10, no. 1 (2025): 1. https://doi.org/10.21154/muslimheritage.v10i1.10764.</w:t>
      </w:r>
    </w:p>
    <w:p w14:paraId="22B1D0C0"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Saputera, Abdur Rahman Adi. “The Contribution of the Gorontalo Provincial MUI to the Welfare of the People During the Covid-19 Pandemic.” </w:t>
      </w:r>
      <w:r w:rsidRPr="006A2448">
        <w:rPr>
          <w:rFonts w:ascii="Garamond" w:hAnsi="Garamond" w:cstheme="majorBidi"/>
          <w:i/>
          <w:iCs/>
          <w:sz w:val="24"/>
          <w:szCs w:val="24"/>
        </w:rPr>
        <w:t>Tamaddun Journal of Islamic Studies</w:t>
      </w:r>
      <w:r w:rsidRPr="006A2448">
        <w:rPr>
          <w:rFonts w:ascii="Garamond" w:hAnsi="Garamond" w:cstheme="majorBidi"/>
          <w:sz w:val="24"/>
          <w:szCs w:val="24"/>
        </w:rPr>
        <w:t xml:space="preserve"> 1, no. 1 (2022): 1. https://doi.org/10.55657/tajis.v1i1.26.</w:t>
      </w:r>
    </w:p>
    <w:p w14:paraId="1AA22BB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Sholichuddin, Muhamad Afrizal, Nicky Estu Putu Muchtar, and Rizky Dwi Ratna. “The Relationship of Islam and The State in Contemporary Islamic Political Discourse in Indonesia.” </w:t>
      </w:r>
      <w:r w:rsidRPr="006A2448">
        <w:rPr>
          <w:rFonts w:ascii="Garamond" w:hAnsi="Garamond" w:cstheme="majorBidi"/>
          <w:i/>
          <w:iCs/>
          <w:sz w:val="24"/>
          <w:szCs w:val="24"/>
        </w:rPr>
        <w:t>Dirasah International Journal of Islamic Studies</w:t>
      </w:r>
      <w:r w:rsidRPr="006A2448">
        <w:rPr>
          <w:rFonts w:ascii="Garamond" w:hAnsi="Garamond" w:cstheme="majorBidi"/>
          <w:sz w:val="24"/>
          <w:szCs w:val="24"/>
        </w:rPr>
        <w:t xml:space="preserve"> 1, no. 2 (2023): 2. https://doi.org/10.59373/drs.v1i2.11.</w:t>
      </w:r>
    </w:p>
    <w:p w14:paraId="5A730C40"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Siino, Marco. “Exploring the Use of LLMs in the Italian Legal Domain: A Survey on Recent Applications.” </w:t>
      </w:r>
      <w:r w:rsidRPr="006A2448">
        <w:rPr>
          <w:rFonts w:ascii="Garamond" w:hAnsi="Garamond" w:cstheme="majorBidi"/>
          <w:i/>
          <w:iCs/>
          <w:sz w:val="24"/>
          <w:szCs w:val="24"/>
        </w:rPr>
        <w:t>Computer Law &amp; Security Review</w:t>
      </w:r>
      <w:r w:rsidRPr="006A2448">
        <w:rPr>
          <w:rFonts w:ascii="Garamond" w:hAnsi="Garamond" w:cstheme="majorBidi"/>
          <w:sz w:val="24"/>
          <w:szCs w:val="24"/>
        </w:rPr>
        <w:t xml:space="preserve"> 58 (September 2025): 106164. https://doi.org/10.1016/j.clsr.2025.106164.</w:t>
      </w:r>
    </w:p>
    <w:p w14:paraId="0AA9E31F"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i/>
          <w:iCs/>
          <w:sz w:val="24"/>
          <w:szCs w:val="24"/>
        </w:rPr>
        <w:t>Joint Ministerial Decree No. 3 of 2008 – Ahmadiyah Movement</w:t>
      </w:r>
      <w:r w:rsidRPr="006A2448">
        <w:rPr>
          <w:rFonts w:ascii="Garamond" w:hAnsi="Garamond" w:cstheme="majorBidi"/>
          <w:sz w:val="24"/>
          <w:szCs w:val="24"/>
        </w:rPr>
        <w:t>. n.d. Accessed August 6, 2025. https://ahmadiyah.org/skb-3-menteri-tentang-ahmadiyah/.</w:t>
      </w:r>
    </w:p>
    <w:p w14:paraId="327AD702"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Sugara, Robi, and Maria Ulfa. “Implementation of Public Policy in Handling Covid-19 through a Religious Approach.” </w:t>
      </w:r>
      <w:r w:rsidRPr="006A2448">
        <w:rPr>
          <w:rFonts w:ascii="Garamond" w:hAnsi="Garamond" w:cstheme="majorBidi"/>
          <w:i/>
          <w:iCs/>
          <w:sz w:val="24"/>
          <w:szCs w:val="24"/>
        </w:rPr>
        <w:t>Jurnal Bimas Islam</w:t>
      </w:r>
      <w:r w:rsidRPr="006A2448">
        <w:rPr>
          <w:rFonts w:ascii="Garamond" w:hAnsi="Garamond" w:cstheme="majorBidi"/>
          <w:sz w:val="24"/>
          <w:szCs w:val="24"/>
        </w:rPr>
        <w:t xml:space="preserve"> 14, no. 1 (2021): 1. https://doi.org/10.37302/jbi.v14i1.361.</w:t>
      </w:r>
    </w:p>
    <w:p w14:paraId="2D972ACA"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Suhendar, Heris, Oyo Sunaryo Mukhlas, and Atang Abd Hakim. “Legal Politics of the Existence of Fatwa in Islamic Financial Institutions: Evidence from Indonesia.” </w:t>
      </w:r>
      <w:r w:rsidRPr="006A2448">
        <w:rPr>
          <w:rFonts w:ascii="Garamond" w:hAnsi="Garamond" w:cstheme="majorBidi"/>
          <w:i/>
          <w:iCs/>
          <w:sz w:val="24"/>
          <w:szCs w:val="24"/>
        </w:rPr>
        <w:t>Jurnal Hukum Islam</w:t>
      </w:r>
      <w:r w:rsidRPr="006A2448">
        <w:rPr>
          <w:rFonts w:ascii="Garamond" w:hAnsi="Garamond" w:cstheme="majorBidi"/>
          <w:sz w:val="24"/>
          <w:szCs w:val="24"/>
        </w:rPr>
        <w:t xml:space="preserve"> 21, no. 2 (2023): 279–308. https://doi.org/10.28918/jhi_v21i2_03.</w:t>
      </w:r>
    </w:p>
    <w:p w14:paraId="1B5150AA"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Sumarna, Elan. “Islamic Sharia in the Context of Social, Political, and Cultural Change.” </w:t>
      </w:r>
      <w:r w:rsidRPr="006A2448">
        <w:rPr>
          <w:rFonts w:ascii="Garamond" w:hAnsi="Garamond" w:cstheme="majorBidi"/>
          <w:i/>
          <w:iCs/>
          <w:sz w:val="24"/>
          <w:szCs w:val="24"/>
        </w:rPr>
        <w:t>Sosio Religi: Journal of General Education Studies</w:t>
      </w:r>
      <w:r w:rsidRPr="006A2448">
        <w:rPr>
          <w:rFonts w:ascii="Garamond" w:hAnsi="Garamond" w:cstheme="majorBidi"/>
          <w:sz w:val="24"/>
          <w:szCs w:val="24"/>
        </w:rPr>
        <w:t xml:space="preserve"> 14, no. 2 (2023): 2. https://doi.org/10.17509/sosioreligi.v14i2.5611.</w:t>
      </w:r>
    </w:p>
    <w:p w14:paraId="199055F6"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Suminto, Ahmad, Ahmad Agus Hidayat, Risma Nada Azkiya, Muhammad Alfan Rumasukun, and Rizki Ari Purnama. “Comparative Analysis of The Influence of Sharia and </w:t>
      </w:r>
      <w:r w:rsidRPr="006A2448">
        <w:rPr>
          <w:rFonts w:ascii="Garamond" w:hAnsi="Garamond" w:cstheme="majorBidi"/>
          <w:sz w:val="24"/>
          <w:szCs w:val="24"/>
        </w:rPr>
        <w:lastRenderedPageBreak/>
        <w:t xml:space="preserve">Conventional Monetary Instruments on The Real Sector: An Empirical Study of Indonesia’s IPI.” </w:t>
      </w:r>
      <w:r w:rsidRPr="006A2448">
        <w:rPr>
          <w:rFonts w:ascii="Garamond" w:hAnsi="Garamond" w:cstheme="majorBidi"/>
          <w:i/>
          <w:iCs/>
          <w:sz w:val="24"/>
          <w:szCs w:val="24"/>
        </w:rPr>
        <w:t>Muslim Heritage</w:t>
      </w:r>
      <w:r w:rsidRPr="006A2448">
        <w:rPr>
          <w:rFonts w:ascii="Garamond" w:hAnsi="Garamond" w:cstheme="majorBidi"/>
          <w:sz w:val="24"/>
          <w:szCs w:val="24"/>
        </w:rPr>
        <w:t xml:space="preserve"> 9, no. 2 (2024): 2. https://doi.org/10.21154/muslimheritage.v9i2.8892.</w:t>
      </w:r>
    </w:p>
    <w:p w14:paraId="513E8DCA"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Syarif, Nurrohman, Zulbaidah, and Muhammad Andi Septiadi. “Political Theology: How God’s Law Is Applied in the Context of Indonesian Democracy Based on Pancasila.” </w:t>
      </w:r>
      <w:r w:rsidRPr="006A2448">
        <w:rPr>
          <w:rFonts w:ascii="Garamond" w:hAnsi="Garamond" w:cstheme="majorBidi"/>
          <w:i/>
          <w:iCs/>
          <w:sz w:val="24"/>
          <w:szCs w:val="24"/>
        </w:rPr>
        <w:t>Cogent Arts &amp;amp; Humanities</w:t>
      </w:r>
      <w:r w:rsidRPr="006A2448">
        <w:rPr>
          <w:rFonts w:ascii="Garamond" w:hAnsi="Garamond" w:cstheme="majorBidi"/>
          <w:sz w:val="24"/>
          <w:szCs w:val="24"/>
        </w:rPr>
        <w:t xml:space="preserve"> 11, no. 1 (2024): 2407104. https://doi.org/10.1080/23311983.2024.2407104.</w:t>
      </w:r>
    </w:p>
    <w:p w14:paraId="67D26CE6"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“The Language of Exclusion: Ideology and Power in the Fatwa of the Indonesian Ulema Council on Ahmadiyah.” </w:t>
      </w:r>
      <w:r w:rsidRPr="006A2448">
        <w:rPr>
          <w:rFonts w:ascii="Garamond" w:hAnsi="Garamond" w:cstheme="majorBidi"/>
          <w:i/>
          <w:iCs/>
          <w:sz w:val="24"/>
          <w:szCs w:val="24"/>
        </w:rPr>
        <w:t>Journal of Islamic Law</w:t>
      </w:r>
      <w:r w:rsidRPr="006A2448">
        <w:rPr>
          <w:rFonts w:ascii="Garamond" w:hAnsi="Garamond" w:cstheme="majorBidi"/>
          <w:sz w:val="24"/>
          <w:szCs w:val="24"/>
        </w:rPr>
        <w:t>, ahead of print, August 10, 2025. https://doi.org/10.24260/jil.v6i1.3338.</w:t>
      </w:r>
    </w:p>
    <w:p w14:paraId="0EA8B0B0"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Wahid, Soleh Hasan, Anjar Kususiyanah, and Fuady Abdullah. “Strengthening the Trust and Authority of Fatwa Institutions in the Digital Era: Lessons from Indonesia.” </w:t>
      </w:r>
      <w:r w:rsidRPr="006A2448">
        <w:rPr>
          <w:rFonts w:ascii="Garamond" w:hAnsi="Garamond" w:cstheme="majorBidi"/>
          <w:i/>
          <w:iCs/>
          <w:sz w:val="24"/>
          <w:szCs w:val="24"/>
        </w:rPr>
        <w:t>Journal of College of Sharia and Islamic Studies</w:t>
      </w:r>
      <w:r w:rsidRPr="006A2448">
        <w:rPr>
          <w:rFonts w:ascii="Garamond" w:hAnsi="Garamond" w:cstheme="majorBidi"/>
          <w:sz w:val="24"/>
          <w:szCs w:val="24"/>
        </w:rPr>
        <w:t xml:space="preserve"> 43, no. 2 (2025). https://doi.org/10.29117/jcsis.2025.0425.</w:t>
      </w:r>
    </w:p>
    <w:p w14:paraId="788F1073"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Yahya, Imam, and Sulistiyono Susilo. “Conservative Muslims in Indonesia’s Religious and Political Landscapes: Ahok’s Blasphemy Case as a Political Leverage.” </w:t>
      </w:r>
      <w:r w:rsidRPr="006A2448">
        <w:rPr>
          <w:rFonts w:ascii="Garamond" w:hAnsi="Garamond" w:cstheme="majorBidi"/>
          <w:i/>
          <w:iCs/>
          <w:sz w:val="24"/>
          <w:szCs w:val="24"/>
        </w:rPr>
        <w:t>Cogent Social Sciences</w:t>
      </w:r>
      <w:r w:rsidRPr="006A2448">
        <w:rPr>
          <w:rFonts w:ascii="Garamond" w:hAnsi="Garamond" w:cstheme="majorBidi"/>
          <w:sz w:val="24"/>
          <w:szCs w:val="24"/>
        </w:rPr>
        <w:t>, Cogent, December 31, 2024. world. https://www.tandfonline.com/doi/abs/10.1080/23311886.2024.2392293.</w:t>
      </w:r>
    </w:p>
    <w:p w14:paraId="2376F4AE"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Yani, Muhammad Turhan, Choirul Mahfud, S.A.P. Rangga Sa’adillah, Mohammad Reevany Bustami, Maskuri, and Ahmad Taufiq. “Advancing the Discourse of Muslim Politics in Indonesia: A Study on Political Orientation of Kiai as Religious Elites in Nahdlatul Ulama.” </w:t>
      </w:r>
      <w:r w:rsidRPr="006A2448">
        <w:rPr>
          <w:rFonts w:ascii="Garamond" w:hAnsi="Garamond" w:cstheme="majorBidi"/>
          <w:i/>
          <w:iCs/>
          <w:sz w:val="24"/>
          <w:szCs w:val="24"/>
        </w:rPr>
        <w:t>Heliyon</w:t>
      </w:r>
      <w:r w:rsidRPr="006A2448">
        <w:rPr>
          <w:rFonts w:ascii="Garamond" w:hAnsi="Garamond" w:cstheme="majorBidi"/>
          <w:sz w:val="24"/>
          <w:szCs w:val="24"/>
        </w:rPr>
        <w:t xml:space="preserve"> 8, no. 12 (2022): e12218. https://doi.org/10.1016/j.heliyon.2022.e12218.</w:t>
      </w:r>
    </w:p>
    <w:p w14:paraId="25957614" w14:textId="77777777" w:rsidR="006A6C13" w:rsidRPr="006A2448" w:rsidRDefault="006A6C13" w:rsidP="006A6C13">
      <w:pPr>
        <w:pStyle w:val="Bibliography"/>
        <w:spacing w:after="0"/>
        <w:ind w:left="567" w:hanging="567"/>
        <w:jc w:val="both"/>
        <w:rPr>
          <w:rFonts w:ascii="Garamond" w:hAnsi="Garamond" w:cstheme="majorBidi"/>
          <w:sz w:val="24"/>
          <w:szCs w:val="24"/>
        </w:rPr>
      </w:pPr>
      <w:r w:rsidRPr="006A2448">
        <w:rPr>
          <w:rFonts w:ascii="Garamond" w:hAnsi="Garamond" w:cstheme="majorBidi"/>
          <w:sz w:val="24"/>
          <w:szCs w:val="24"/>
        </w:rPr>
        <w:t xml:space="preserve">Zulfikar, Zulfikar. “The Concept of Islamic Law Thought Of Sayyid Sabiq In The Book Of Fiqh Sunnah (Analytical Study In Distinguishing Bidh’ah And Ikhtilaf).” </w:t>
      </w:r>
      <w:r w:rsidRPr="006A2448">
        <w:rPr>
          <w:rFonts w:ascii="Garamond" w:hAnsi="Garamond" w:cstheme="majorBidi"/>
          <w:i/>
          <w:iCs/>
          <w:sz w:val="24"/>
          <w:szCs w:val="24"/>
        </w:rPr>
        <w:t>Al-Mashlahah Jurnal Hukum Islam Dan Pranata Sosial</w:t>
      </w:r>
      <w:r w:rsidRPr="006A2448">
        <w:rPr>
          <w:rFonts w:ascii="Garamond" w:hAnsi="Garamond" w:cstheme="majorBidi"/>
          <w:sz w:val="24"/>
          <w:szCs w:val="24"/>
        </w:rPr>
        <w:t xml:space="preserve"> 8, no. 01 (2020): 01. https://doi.org/10.30868/am.v8i01.2548.</w:t>
      </w:r>
    </w:p>
    <w:p w14:paraId="71DF9FF3" w14:textId="77777777" w:rsidR="006A6C13" w:rsidRPr="006A2448" w:rsidRDefault="006A6C13" w:rsidP="006A6C13">
      <w:pPr>
        <w:spacing w:after="0"/>
        <w:ind w:left="567" w:hanging="567"/>
        <w:jc w:val="both"/>
        <w:rPr>
          <w:lang w:val="en-ID" w:eastAsia="en-US"/>
        </w:rPr>
      </w:pPr>
      <w:r w:rsidRPr="006A2448">
        <w:rPr>
          <w:rFonts w:ascii="Garamond" w:hAnsi="Garamond" w:cstheme="majorBidi"/>
          <w:sz w:val="24"/>
          <w:szCs w:val="24"/>
          <w:lang w:val="en-ID" w:eastAsia="en-US"/>
        </w:rPr>
        <w:fldChar w:fldCharType="end"/>
      </w:r>
    </w:p>
    <w:p w14:paraId="3E56E45C" w14:textId="77777777" w:rsidR="006A6C13" w:rsidRPr="006A2448" w:rsidRDefault="006A6C13" w:rsidP="006A6C13">
      <w:pPr>
        <w:spacing w:after="0"/>
        <w:jc w:val="both"/>
        <w:rPr>
          <w:rFonts w:ascii="Garamond" w:hAnsi="Garamond" w:cs="Times New Roman"/>
          <w:b/>
          <w:sz w:val="24"/>
          <w:szCs w:val="24"/>
          <w:lang w:val="en-ID"/>
        </w:rPr>
      </w:pPr>
    </w:p>
    <w:p w14:paraId="4B88AC56" w14:textId="77777777" w:rsidR="005F1C0F" w:rsidRPr="006A2448" w:rsidRDefault="005F1C0F" w:rsidP="005F1C0F">
      <w:pPr>
        <w:rPr>
          <w:rFonts w:cs="Times New Roman"/>
          <w:lang w:eastAsia="en-US"/>
        </w:rPr>
      </w:pPr>
    </w:p>
    <w:p w14:paraId="554839FB" w14:textId="77777777" w:rsidR="005F1C0F" w:rsidRPr="006A2448" w:rsidRDefault="005F1C0F" w:rsidP="005F1C0F">
      <w:pPr>
        <w:rPr>
          <w:rFonts w:cs="Times New Roman"/>
          <w:lang w:eastAsia="en-US"/>
        </w:rPr>
      </w:pPr>
    </w:p>
    <w:p w14:paraId="4EE52AC0" w14:textId="77777777" w:rsidR="005F1C0F" w:rsidRPr="006A2448" w:rsidRDefault="005F1C0F" w:rsidP="005F1C0F">
      <w:pPr>
        <w:rPr>
          <w:rFonts w:cs="Times New Roman"/>
          <w:lang w:eastAsia="en-US"/>
        </w:rPr>
      </w:pPr>
    </w:p>
    <w:p w14:paraId="2B05CE5A" w14:textId="77777777" w:rsidR="0084214D" w:rsidRPr="006A2448" w:rsidRDefault="0084214D" w:rsidP="005F1C0F">
      <w:pPr>
        <w:widowControl w:val="0"/>
        <w:autoSpaceDE w:val="0"/>
        <w:autoSpaceDN w:val="0"/>
        <w:adjustRightInd w:val="0"/>
        <w:ind w:left="480" w:hanging="480"/>
        <w:jc w:val="both"/>
        <w:rPr>
          <w:rFonts w:ascii="Garamond" w:hAnsi="Garamond" w:cs="Times New Roman"/>
          <w:lang w:eastAsia="en-US"/>
        </w:rPr>
      </w:pPr>
    </w:p>
    <w:sectPr w:rsidR="0084214D" w:rsidRPr="006A2448" w:rsidSect="001403D6">
      <w:headerReference w:type="even" r:id="rId12"/>
      <w:headerReference w:type="default" r:id="rId13"/>
      <w:headerReference w:type="first" r:id="rId14"/>
      <w:type w:val="continuous"/>
      <w:pgSz w:w="11907" w:h="16840"/>
      <w:pgMar w:top="1134" w:right="1134" w:bottom="1134" w:left="1701" w:header="720" w:footer="720" w:gutter="0"/>
      <w:pgNumType w:start="2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9533" w14:textId="77777777" w:rsidR="009E65FF" w:rsidRDefault="009E65FF">
      <w:pPr>
        <w:widowControl w:val="0"/>
        <w:autoSpaceDE w:val="0"/>
        <w:autoSpaceDN w:val="0"/>
        <w:adjustRightInd w:val="0"/>
        <w:spacing w:after="0" w:line="240" w:lineRule="auto"/>
        <w:rPr>
          <w:rFonts w:ascii="Times New Roman" w:cs="Times New Roman"/>
          <w:sz w:val="24"/>
          <w:szCs w:val="24"/>
          <w:lang w:eastAsia="en-US"/>
        </w:rPr>
      </w:pPr>
      <w:r>
        <w:rPr>
          <w:rFonts w:ascii="Times New Roman" w:cs="Times New Roman"/>
          <w:sz w:val="24"/>
          <w:szCs w:val="24"/>
          <w:lang w:eastAsia="en-US"/>
        </w:rPr>
        <w:separator/>
      </w:r>
    </w:p>
  </w:endnote>
  <w:endnote w:type="continuationSeparator" w:id="0">
    <w:p w14:paraId="5A2838FE" w14:textId="77777777" w:rsidR="009E65FF" w:rsidRDefault="009E65FF">
      <w:pPr>
        <w:widowControl w:val="0"/>
        <w:autoSpaceDE w:val="0"/>
        <w:autoSpaceDN w:val="0"/>
        <w:adjustRightInd w:val="0"/>
        <w:spacing w:after="0" w:line="240" w:lineRule="auto"/>
        <w:rPr>
          <w:rFonts w:ascii="Times New Roman" w:cs="Times New Roman"/>
          <w:sz w:val="24"/>
          <w:szCs w:val="24"/>
          <w:lang w:eastAsia="en-US"/>
        </w:rPr>
      </w:pPr>
      <w:r>
        <w:rPr>
          <w:rFonts w:ascii="Times New Roman" w:cs="Times New Roman"/>
          <w:sz w:val="24"/>
          <w:szCs w:val="24"/>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Segoe Print"/>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Jawa Palsu">
    <w:altName w:val="Calibri"/>
    <w:panose1 w:val="000004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17E1" w14:textId="77777777" w:rsidR="009E65FF" w:rsidRDefault="009E65FF">
      <w:pPr>
        <w:widowControl w:val="0"/>
        <w:autoSpaceDE w:val="0"/>
        <w:autoSpaceDN w:val="0"/>
        <w:adjustRightInd w:val="0"/>
        <w:spacing w:after="0" w:line="240" w:lineRule="auto"/>
        <w:rPr>
          <w:rFonts w:ascii="Times New Roman" w:cs="Times New Roman"/>
          <w:sz w:val="24"/>
          <w:szCs w:val="24"/>
          <w:lang w:eastAsia="en-US"/>
        </w:rPr>
      </w:pPr>
      <w:r>
        <w:rPr>
          <w:rFonts w:ascii="Times New Roman" w:cs="Times New Roman"/>
          <w:sz w:val="24"/>
          <w:szCs w:val="24"/>
          <w:lang w:eastAsia="en-US"/>
        </w:rPr>
        <w:separator/>
      </w:r>
    </w:p>
  </w:footnote>
  <w:footnote w:type="continuationSeparator" w:id="0">
    <w:p w14:paraId="3580E905" w14:textId="77777777" w:rsidR="009E65FF" w:rsidRDefault="009E65FF">
      <w:pPr>
        <w:widowControl w:val="0"/>
        <w:autoSpaceDE w:val="0"/>
        <w:autoSpaceDN w:val="0"/>
        <w:adjustRightInd w:val="0"/>
        <w:spacing w:after="0" w:line="240" w:lineRule="auto"/>
        <w:rPr>
          <w:rFonts w:ascii="Times New Roman" w:cs="Times New Roman"/>
          <w:sz w:val="24"/>
          <w:szCs w:val="24"/>
          <w:lang w:eastAsia="en-US"/>
        </w:rPr>
      </w:pPr>
      <w:r>
        <w:rPr>
          <w:rFonts w:ascii="Times New Roman" w:cs="Times New Roman"/>
          <w:sz w:val="24"/>
          <w:szCs w:val="24"/>
          <w:lang w:eastAsia="en-US"/>
        </w:rPr>
        <w:continuationSeparator/>
      </w:r>
    </w:p>
  </w:footnote>
  <w:footnote w:id="1">
    <w:p w14:paraId="2A095C32"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{"citationID":"7VFwy8sP","properties":{"formattedCitation":"Siti Nor Asma, \\uc0\\u8220{}Kedudukan Fiqih Siyasah Dalam Hukum Islam,\\uc0\\u8221{} {\\i{}Lex Sharia Pacta Sunt Servanda: Jurnal Hukum Islam dan Kebijakan} 1, no. 2 (n.d.), https://journal.alshobar.or.id/index.php/lespass/article/view/269.","plainCitation":"Siti Nor Asma, “Kedudukan Fiqih Siyasah Dalam Hukum Islam,” Lex Sharia Pacta Sunt Servanda: Jurnal Hukum Islam dan Kebijakan 1, no. 2 (n.d.), https://journal.alshobar.or.id/index.php/lespass/article/view/269.","noteIndex":1},"citationItems":[{"id":15,"uris":["http://zotero.org/users/local/yKBDuK4m/items/NWV7EVXR","http://zotero.org/users/17696806/items/NWV7EVXR"],"itemData":{"id":15,"type":"article-journal","abstract":"This study aims to examine the perspectives of fiqh based on the Qur'an and Hadith, explore the position of siyasah (political jurisprudence) within Islamic law, and investigate the legal principles related to the establishment of a state according to Islamic teachings. The research employs a qualitative method with a descriptive-analytical approach. This approach is conducted through literature review, involving the analysis of various relevant literature on ethics, politics, and Islamic political systems. Data sources are obtained from reputable books, journals, and articles. Data collection techniques include exploring and conducting in-depth studies of relevant literature, while data analysis involves analyzing, comparing, and interpreting information from these sources to gain a comprehensive understanding of the researched topic. The study concludes that fiqh siyasah, or political jurisprudence in Islam, is a branch of fiqh that governs the application of sharia principles in governance and administration. Fiqh covers various aspects of life such as worship, social transactions, family matters, and criminal law, with primary legal sources being the Qur'an, Hadith, ijma' (consensus), and qiyas (analogy). From the Qur'anic perspective, siyasah focuses on justice and obedience to Allah and His Messenger, while Hadith emphasizes trustworthy leadership. Fiqh siyasah encompasses the management of criminal law, state administration, economy, and international relations. The establishment of a state in Islam is considered a fardhu kifayah (collective obligation) to implement Islamic law and ensure the welfare of the community.","container-title":"Lex Sharia Pacta Sunt Servanda: Jurnal Hukum Islam dan Kebijakan","ISSN":"3026-3824","issue":"2","language":"id","source":"Zotero","title":"Kedudukan Fiqih Siyasah Dalam Hukum Islam","URL":"https://journal.alshobar.or.id/index.php/lespass/article/view/269","volume":"1","author":[{"family":"Asma","given":"Siti Nor"}]}}],"schema":"https://github.com/citation-style-language/schema/raw/master/csl-citation.json"}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Siti Nor Asma, “The Position of Fiqh Siyasah in Islamic Law,” </w:t>
      </w:r>
      <w:r w:rsidRPr="006A6C13">
        <w:rPr>
          <w:rFonts w:ascii="Garamond" w:hAnsi="Garamond" w:cstheme="majorBidi"/>
          <w:i/>
          <w:iCs/>
          <w:sz w:val="20"/>
          <w:szCs w:val="20"/>
        </w:rPr>
        <w:t>Lex Sharia Pacta Sunt Servanda: Journal of Islamic Law and Policy</w:t>
      </w:r>
      <w:r w:rsidRPr="006A6C13">
        <w:rPr>
          <w:rFonts w:ascii="Garamond" w:hAnsi="Garamond" w:cstheme="majorBidi"/>
          <w:sz w:val="20"/>
          <w:szCs w:val="20"/>
        </w:rPr>
        <w:t xml:space="preserve"> 1, no. 2 (n.d.), https://journal.alshobar.or.id/index.php/lespass/article/view/269.</w:t>
      </w:r>
      <w:r w:rsidRPr="006A6C13">
        <w:rPr>
          <w:rFonts w:ascii="Garamond" w:hAnsi="Garamond" w:cstheme="majorBidi"/>
          <w:sz w:val="20"/>
          <w:szCs w:val="20"/>
        </w:rPr>
        <w:fldChar w:fldCharType="end"/>
      </w:r>
    </w:p>
  </w:footnote>
  <w:footnote w:id="2">
    <w:p w14:paraId="4422ACED"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{"citationID":"f7auTqte","properties":{"formattedCitation":"Zainal Arifin et al., \\uc0\\u8220{}Analysis of Maqasidiyyah on The Compilation of Islamic Law and The Egyptian Al-Wasiyah Law Regarding Wajibah Bequest From Ibn Ashur\\uc0\\u8217{}s Perspective,\\uc0\\u8221{} {\\i{}Muslim Heritage} 10, no. 1 (2025): 1, https://doi.org/10.21154/muslimheritage.v10i1.10733.","plainCitation":"Zainal Arifin et al., “Analysis of Maqasidiyyah on The Compilation of Islamic Law and The Egyptian Al-Wasiyah Law Regarding Wajibah Bequest From Ibn Ashur’s Perspective,” Muslim Heritage 10, no. 1 (2025): 1, https://doi.org/10.21154/muslimheritage.v10i1.10733.","noteIndex":2},"citationItems":[{"id":79,"uris":["http://zotero.org/users/17696806/items/69VKXAFR"],"itemData":{"id":79,"type":"article-journal","abstract":"Islamic law in Indonesia is developing rapidly, including wasiat wajibah in the KHI, which is the mandatory transfer of property between parents and adopted children through a court decision. This study is normative in nature, employing the maqasid syari’ah approach of Ibn Asyur. The study aims to analyze the concept of wasiat wajibah as stipulated in the KHI, comparing it with the Egyptian Qanun to determine whether it aligns with the objectives of Islamic law.  This study found several results: 1) Mandatory wills in the KHI are given to adopted children and adoptive parents, with a maximum of 1/3 of the estate. In the Egyptian Qanun, wills are given to grandchildren whose fathers died while their grandparents were still alive and who are prevented from inheriting. 2) In Indonesia, the concept of mandatory bequests has been expanded through a Supreme Court ruling to include adopted children, adoptive parents, and relatives barred from inheritance such as non-Muslims, stepchildren, and children born out of wedlock. In Egypt, according to a ruling by Darul al-Ifta, mandatory bequests are given to grandchildren if their father dies before their grandfather or grandmother. 3) According to Ibn Asyur's maqasid Syariah, the reformulation of Article 209 of the KHI regarding wasiat wajibah is in line with maqasid syariah because it preserves lineage, regulates inheritance proportionally, and creates clarity and peace between heirs and recipients of wasiat wajibah.\nAbstrak\nHukum Islam di Indonesia berkembang pesat, termasuk wasiat wajibah dalam KHI, yaitu pemberian harta secara wajib antara orang tua dan anak angkat melalui putusan pengadilan. Penelitian ini bersifat normatif dengan pendekatan maqasid syari’ah Ibnu Asyur.Penelitian ini bertujuan untuk menganalisis konsep wasiat wajibah yang tercantum dalam KHI yang dibandingkan dengan Qanun negara Mesir sudahkah sesuai dengan tujuan syariat Islam.  Penelitian ini menemukan beberapa hasil penelitian 1) Wasiat wajibah dalam KHI diberikan terhadap anak angkat, dan orang tua angkat maksimal 1/3 dari harta peninggalan, Sedangkan dalam Qanun Mesir wasiat diberikan kepada cucu yang ayahnya meninggal dunia sewaktu kakek atau neneknya masih hidup dan cucu tersebut tehalang untuk mendapatkan warisan. 2) Di Indonesia, konsep wasiat wajibah diperluas melalui putusan Mahkamah Agung, mencakup anak angkat, orang tua angkat, serta kerabat terhalang warisan seperti non-Muslim, anak tiri, dan anak hasil zina. Di Mesir, menurut putusan Darul al-Ifta, wasiat wajibah diberikan kepada cucu jika ayahnya meninggal sebelum kakek atau neneknya. 3) Menurut maqasid Syariah Ibnu Asyur, reformulasi Pasal 209 KHI tentang wasiat wajibah selaras dengan maqasid syariah karena menjaga nasab, mengatur warisan secara proporsional, serta menciptakan kejelasan dan kedamaian antara ahli waris dan penerima wasiat wajibah.\nKeywords: Wajibah Bequest; KHI; Al-Wasiyah Law; Ibn Ashur.","container-title":"Muslim Heritage","DOI":"10.21154/muslimheritage.v10i1.10733","ISSN":"2502-5341","issue":"1","language":"en","license":"Copyright (c) 2025","note":"number: 1","page":"15-30","source":"jurnal.iainponorogo.ac.id","title":"Analysis of Maqasidiyyah on The Compilation of Islamic Law and The Egyptian Al-Wasiyah Law Regarding Wajibah Bequest From Ibn Ashur's Perspective","volume":"10","author":[{"family":"Arifin","given":"Zainal"},{"family":"Hamidah","given":"Tutik"},{"family":"Mahmudi","given":"Zaenul"},{"family":"Rouf","given":"Abd"}],"issued":{"date-parts":[["2025",6,25]]}}}],"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Zainal Arifin et al., “Analysis of Maqasidiyyah on The Compilation of Islamic Law and The Egyptian Al-Wasiyah Law Regarding Wajibah Bequest From Ibn Ashur’s Perspective,” </w:t>
      </w:r>
      <w:r w:rsidRPr="006A6C13">
        <w:rPr>
          <w:rFonts w:ascii="Garamond" w:hAnsi="Garamond" w:cstheme="majorBidi"/>
          <w:i/>
          <w:iCs/>
          <w:kern w:val="0"/>
          <w:sz w:val="20"/>
          <w:szCs w:val="20"/>
        </w:rPr>
        <w:t>Muslim Heritage</w:t>
      </w:r>
      <w:r w:rsidRPr="006A6C13">
        <w:rPr>
          <w:rFonts w:ascii="Garamond" w:hAnsi="Garamond" w:cstheme="majorBidi"/>
          <w:kern w:val="0"/>
          <w:sz w:val="20"/>
          <w:szCs w:val="20"/>
        </w:rPr>
        <w:t xml:space="preserve"> 10, no. 1 (2025): 1, https://doi.org/10.21154/muslimheritage.v10i1.10733.</w:t>
      </w:r>
      <w:r w:rsidRPr="006A6C13">
        <w:rPr>
          <w:rFonts w:ascii="Garamond" w:hAnsi="Garamond" w:cstheme="majorBidi"/>
          <w:sz w:val="20"/>
          <w:szCs w:val="20"/>
        </w:rPr>
        <w:fldChar w:fldCharType="end"/>
      </w:r>
    </w:p>
  </w:footnote>
  <w:footnote w:id="3">
    <w:p w14:paraId="0150D3DF"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{"citationID":"uD8mg4Wk","properties":{"formattedCitation":"Abdullah M. Al-Ansi$Social and Political Science Department et al., \\uc0\\u8220{}Rational Choice of Following Muhammadiyah and Nahdlatul Ulama and Their Social and Political Role in Indonesian Society,\\uc0\\u8221{} {\\i{}Open Access Library Journal} 06, no. 11 (2019): 1, https://doi.org/10.4236/oalib.1105829.","plainCitation":"Abdullah M. Al-Ansi$Social and Political Science Department et al., “Rational Choice of Following Muhammadiyah and Nahdlatul Ulama and Their Social and Political Role in Indonesian Society,” Open Access Library Journal 06, no. 11 (2019): 1, https://doi.org/10.4236/oalib.1105829.","noteIndex":3},"citationItems":[{"id":360,"uris":["http://zotero.org/users/17696806/items/6IHXCNGU"],"itemData":{"id":360,"type":"article-journal","abstract":"Muhammadiyah and Nahdlatul Ulama are the biggest Islamic social organ-izations in Indonesia with more than 70 million adherents. Both two or-ganizations were founded in the early 19th century. This study aims to de-scribe the main features and characteristics of Muhammadiyah and Nahdlatul Ulama to understand the reasons of followers behind joining one of these two organizations and to describe the role of two organizations on social and political aspects of Indonesian society. This study is categorized under social definition approach. Based on the subject and objectives of this study, phenomenological type was the suitable approach to conduct this study in addition to in-depth explanation and illustration of two organizations. Qualitative method with purposive sampling was used to collect data by interviews and documents of both organizations. Characteristics of Muhammadiyah and Nahdlatul Ulama could be divided into two types: common and different characteristics. Muhammadiyah and NU are similar in social service, religious orientation and Islamic education. Both organizations share the same Islamic values regardless some differences in doctrines. There are some differences that Muhammadiyah is considered as Modern organization, revolutionary and renewal movement while NU has strong believe in the founder’s thoughts where no change in the basics of these thoughts and modern in education, politics and some social activities. Rational choice was based on five factors which are values of the organization, family background, education, society orientation and related benefits. Values of the organization and education have the priority in Muhammadiyah while family and values have the priority in Nahdlatul Ulama respectively. Muhammadiyah and Nahdlatul Ulama have a significant impact on the Indonesian Muslim society by holding religious activities, education, cultural events and charity. In addition, both organizations play important role in conducting socio-religious and socio-cultural occasions. Muhammadiyah and Nahdlatul Ulama are not political parties but they play a significant role in shaping the Indonesian politic. Activists of both organizations have formed political parties but not all followers of the both organizations follow these parties.","container-title":"Open Access Library Journal","DOI":"10.4236/oalib.1105829","issue":"11","language":"en","note":"publisher: Scientific Research Publishing","page":"1","source":"www.scirp.org","title":"Rational Choice of Following Muhammadiyah and Nahdlatul Ulama and Their Social and Political Role in Indonesian Society","volume":"06","author":[{"family":"Department","given":"Abdullah M. Al-Ansi$Social and Political Science"},{"family":"UMM","given":""},{"family":"Malang","given":""},{"family":"Science","given":"Indonesia</w:instrText>
      </w:r>
      <w:r w:rsidRPr="006A6C13">
        <w:rPr>
          <w:rFonts w:ascii="Yu Gothic" w:eastAsia="Yu Gothic" w:hAnsi="Yu Gothic" w:cs="Yu Gothic" w:hint="eastAsia"/>
          <w:sz w:val="20"/>
          <w:szCs w:val="20"/>
        </w:rPr>
        <w:instrText>╃</w:instrText>
      </w:r>
      <w:r w:rsidRPr="006A6C13">
        <w:rPr>
          <w:rFonts w:ascii="Garamond" w:hAnsi="Garamond" w:cstheme="majorBidi"/>
          <w:sz w:val="20"/>
          <w:szCs w:val="20"/>
        </w:rPr>
        <w:instrText>Ishomuddin Ishomuddin$Faculty of Social and Political"},{"family":"UMM","given":""},{"family":"Malang","given":""},{"family":"Science","given":"Indonesia</w:instrText>
      </w:r>
      <w:r w:rsidRPr="006A6C13">
        <w:rPr>
          <w:rFonts w:ascii="Yu Gothic" w:eastAsia="Yu Gothic" w:hAnsi="Yu Gothic" w:cs="Yu Gothic" w:hint="eastAsia"/>
          <w:sz w:val="20"/>
          <w:szCs w:val="20"/>
        </w:rPr>
        <w:instrText>╃</w:instrText>
      </w:r>
      <w:r w:rsidRPr="006A6C13">
        <w:rPr>
          <w:rFonts w:ascii="Garamond" w:hAnsi="Garamond" w:cstheme="majorBidi"/>
          <w:sz w:val="20"/>
          <w:szCs w:val="20"/>
        </w:rPr>
        <w:instrText>Tri Sulistyaningsih$Faculty of Social and Political"},{"family":"UMM","given":""},{"family":"Malang","given":""},{"family":"Science","given":"Indonesia</w:instrText>
      </w:r>
      <w:r w:rsidRPr="006A6C13">
        <w:rPr>
          <w:rFonts w:ascii="Yu Gothic" w:eastAsia="Yu Gothic" w:hAnsi="Yu Gothic" w:cs="Yu Gothic" w:hint="eastAsia"/>
          <w:sz w:val="20"/>
          <w:szCs w:val="20"/>
        </w:rPr>
        <w:instrText>╃</w:instrText>
      </w:r>
      <w:r w:rsidRPr="006A6C13">
        <w:rPr>
          <w:rFonts w:ascii="Garamond" w:hAnsi="Garamond" w:cstheme="majorBidi"/>
          <w:sz w:val="20"/>
          <w:szCs w:val="20"/>
        </w:rPr>
        <w:instrText xml:space="preserve">Rinikso Kartono$Faculty of Social and Political"},{"family":"UMM","given":""},{"family":"Malang","given":""},{"family":"Indonesia","given":""}],"issued":{"date-parts":[["2019"]]}}}],"schema":"https://github.com/citation-style-language/schema/raw/master/csl-citation.json"}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Abdullah M. Al-Ansi$Social and Political Science Department et al., “Rational Choice of Following Muhammadiyah and Nahdlatul Ulama and Their Social and Political Role in Indonesian Society,” </w:t>
      </w:r>
      <w:r w:rsidRPr="006A6C13">
        <w:rPr>
          <w:rFonts w:ascii="Garamond" w:hAnsi="Garamond" w:cstheme="majorBidi"/>
          <w:i/>
          <w:iCs/>
          <w:sz w:val="20"/>
          <w:szCs w:val="20"/>
        </w:rPr>
        <w:t>Open Access Library Journal</w:t>
      </w:r>
      <w:r w:rsidRPr="006A6C13">
        <w:rPr>
          <w:rFonts w:ascii="Garamond" w:hAnsi="Garamond" w:cstheme="majorBidi"/>
          <w:sz w:val="20"/>
          <w:szCs w:val="20"/>
        </w:rPr>
        <w:t xml:space="preserve"> 06, no. 11 (2019): 1, https://doi.org/10.4236/oalib.1105829.</w:t>
      </w:r>
      <w:r w:rsidRPr="006A6C13">
        <w:rPr>
          <w:rFonts w:ascii="Garamond" w:hAnsi="Garamond" w:cstheme="majorBidi"/>
          <w:sz w:val="20"/>
          <w:szCs w:val="20"/>
        </w:rPr>
        <w:fldChar w:fldCharType="end"/>
      </w:r>
    </w:p>
  </w:footnote>
  <w:footnote w:id="4">
    <w:p w14:paraId="14DCC856"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{"citationID":"ZrRUME94","properties":{"formattedCitation":"Moh Mas\\uc0\\u8217{}udi, \\uc0\\u8220{}Muhammadiyah and Nahdlatul Ulama Contribution to The Islamic Economics Development in Indonesia,\\uc0\\u8221{} {\\i{}Afkaruna: Indonesian Interdisciplinary Journal of Islamic Studies} 19, no. 1 (2023): 109\\uc0\\u8211{}22, https://doi.org/10.18196/afkaruna.v19i1.17820.","plainCitation":"Moh Mas’udi, “Muhammadiyah and Nahdlatul Ulama Contribution to The Islamic Economics Development in Indonesia,” Afkaruna: Indonesian Interdisciplinary Journal of Islamic Studies 19, no. 1 (2023): 109–22, https://doi.org/10.18196/afkaruna.v19i1.17820.","noteIndex":4},"citationItems":[{"id":362,"uris":["http://zotero.org/users/17696806/items/FDYLVUC2"],"itemData":{"id":362,"type":"article-journal","abstract":"Muhammadiyah and Nahdlatul Ulama are the two pillars of the Islamic movement in Indonesia. Muhammadiyah represents the modernist Islamic movement. Meanwhile, Nahdlatul Ulama represents the traditionalist Islamic movement. The role of both in da'wah activities of Islam in religious, educational, and social fields is crucial. In the context of Islamic economics, both contribute to the development of Islamic economics in Indonesia. Through a historical analysis, this study showed that Muhammadiyah and Nahdlatul Ulama have contributed to the Sharia economic development since before the independence of Indonesia in the context of Islamic economic thoughts and practices. With the spirit of the Qur’an, chapter al-Ma</w:instrText>
      </w:r>
      <w:r w:rsidRPr="006A6C13">
        <w:rPr>
          <w:rFonts w:ascii="Times New Roman"/>
          <w:sz w:val="20"/>
          <w:szCs w:val="20"/>
        </w:rPr>
        <w:instrText>ʿ</w:instrText>
      </w:r>
      <w:r w:rsidRPr="006A6C13">
        <w:rPr>
          <w:rFonts w:ascii="Garamond" w:hAnsi="Garamond" w:cstheme="majorBidi"/>
          <w:sz w:val="20"/>
          <w:szCs w:val="20"/>
        </w:rPr>
        <w:instrText xml:space="preserve">un, the founder of Muhammadiyah, KH Ahmad Dahlan, has inspired Muhammadiyah members to implement Islamic economy in the forms of Islamic philanthropy, which remains preserved until today. At the same time, KH Hasyim Asy'ari, as the founder of Nahdlatul Ulama, initiated Nahdlatut Tujjar as an embryo for the birth of Nahdlatul Ulama.","container-title":"Afkaruna: Indonesian Interdisciplinary Journal of Islamic Studies","DOI":"10.18196/afkaruna.v19i1.17820","ISSN":"2599-0586","issue":"1","language":"en","license":"Copyright (c) 2023 Afkaruna: Indonesian Interdisciplinary Journal of Islamic Studies","page":"109-122","source":"journal.umy.ac.id","title":"Muhammadiyah and Nahdlatul Ulama Contribution to The Islamic Economics Development in Indonesia","volume":"19","author":[{"family":"Mas'udi","given":"Moh"}],"issued":{"date-parts":[["2023",7,1]]}}}],"schema":"https://github.com/citation-style-language/schema/raw/master/csl-citation.json"}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Moh Mas’udi, “Muhammadiyah and Nahdlatul Ulama Contribution to The Islamic Economics Development in Indonesia,” </w:t>
      </w:r>
      <w:r w:rsidRPr="006A6C13">
        <w:rPr>
          <w:rFonts w:ascii="Garamond" w:hAnsi="Garamond" w:cstheme="majorBidi"/>
          <w:i/>
          <w:iCs/>
          <w:sz w:val="20"/>
          <w:szCs w:val="20"/>
        </w:rPr>
        <w:t>Afkaruna: Indonesian Interdisciplinary Journal of Islamic Studies</w:t>
      </w:r>
      <w:r w:rsidRPr="006A6C13">
        <w:rPr>
          <w:rFonts w:ascii="Garamond" w:hAnsi="Garamond" w:cstheme="majorBidi"/>
          <w:sz w:val="20"/>
          <w:szCs w:val="20"/>
        </w:rPr>
        <w:t xml:space="preserve"> 19, no. 1 (2023): 109–22, https://doi.org/10.18196/afkaruna.v19i1.17820.</w:t>
      </w:r>
      <w:r w:rsidRPr="006A6C13">
        <w:rPr>
          <w:rFonts w:ascii="Garamond" w:hAnsi="Garamond" w:cstheme="majorBidi"/>
          <w:sz w:val="20"/>
          <w:szCs w:val="20"/>
        </w:rPr>
        <w:fldChar w:fldCharType="end"/>
      </w:r>
    </w:p>
  </w:footnote>
  <w:footnote w:id="5">
    <w:p w14:paraId="74FE592A"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{"citationID":"bq7lW96n","properties":{"formattedCitation":"N. Charfi et al., \\uc0\\u8220{}Profil \\uc0\\u201{}pid\\uc0\\u233{}miologique, Clinique et Criminologique Des Agresseurs Sexuels. \\uc0\\u192{} Propos de l\\uc0\\u8217{}\\uc0\\u233{}tude d\\uc0\\u8217{}une S\\uc0\\u233{}rie Expertale Tunisienne,\\uc0\\u8221{} {\\i{}Archives of Legal Medicine} 16, no. 2 (2025): 200528, https://doi.org/10.1016/j.aolm.2024.200528.","plainCitation":"N. Charfi et al., “Profil Épidémiologique, Clinique et Criminologique Des Agresseurs Sexuels. À Propos de l’étude d’une Série Expertale Tunisienne,” Archives of Legal Medicine 16, no. 2 (2025): 200528, https://doi.org/10.1016/j.aolm.2024.200528.","noteIndex":5},"citationItems":[{"id":91,"uris":["http://zotero.org/users/17696806/items/25MURRT3"],"itemData":{"id":91,"type":"article-journal","abstract":"Résumé\nButs de l’étude\nDécrire le profil sociodémographique, clinique ainsi que les caractéristiques criminologiques et médicolégales d’une population d’agresseurs sexuels examinés dans le cadre d’une expertise psychiatrique pénale, et déterminer les facteurs criminologiques associés à l’existence de pathologie mentale chez eux.\nSujets et méthodes\nL’étude était de type rétrospectif, descriptif et analytique. Elle a porté sur les dossiers d’expertise de 46 inculpés agresseurs sexuels, qui ont été examinés au service de psychiatrie « C » au CHU Hédi Chaker à Sfax.\nRésultats\nLes inculpés avaient une médiane d’âge de 35 ans et ils étaient tous de sexe masculin. Nous avons noté une absence de cohésion familiale chez 67,4 %. Le taux des agresseurs sexuels présentant un trouble psychiatrique étaient de 54,4 %, dont 30,4 % avaient des troubles de la personnalité. La démence au sens légal a été retenue dans 23,9 % des cas. Nous avons trouvé une association significative entre le viol suivi de meurtre et l’existence de pathologie mentale chez l’agresseur (p=0,05). Les inculpés ayant une pathologie mentale étaient significativement plus susceptibles de recourir à la violence physique (p=0,007) et d’utiliser une arme (p=0,038). Ceux ne présentant pas de pathologie mentale, abusaient plus fréquemment de l’autorité que leur conférait leur fonction, sans différence significative (p=0,07).\nConclusion\nUn homme adulte moyen appartenant à un milieu socio-familial défavorisé et ayant le plus souvent une personnalité pathologique de type antisocial, tel était le profil le plus fréquent de l’agresseur sexuel dans notre population d’étude. Il serait alors important de renforcer le travail de prévention primaire par une meilleure éducation socioculturelle et sexuelle auprès du grand public en général et des sujets ayant un tel profil en particulier.\nSummary\nAims of the study\nTo describe the sociodemographic and clinical profile of sex offenders examined within penal psychiatric expertise, as well as their criminological and medico-legal characteristics, and determine the criminological factors associated with the existence of a mental pathology in them.\nSubjects and methods\nIt was a retrospective study of a series of 46 sex offenders examined on penal expertise carried out in the department of psychiatry “C” in the Hedi Chaker Hospital, Sfax, Tunisia.\nResults\nThe median age of sex offenders was 35years. They were all male. Family cohesion was absent for 67.4% of the subjects. The rate of those who suffered from psychiatric disorder was 54.4%, of whom 30.4% had personality disorders. Dementia in the legal sense was retained in 23.9% of cases. We found a significant association between rape followed by murder and the existence of mental pathology in sexual offenders (P=0.05). They were more likely to use physical violence (P=0.007) or a weapon (P=0.038). Those who did not suffer from mental illness abused more frequently of the authority conferred to them by their functions but without a significant difference (P=0.07).\nConclusion\nAn average adult male belonging to a disadvantaged socio-familial background and most often having a pathological antisocial personality is the most frequent profile of the sexual aggressor according to our study. It would therefore be important to strengthen primary prevention efforts through better socio-cultural and sexual education among the whole population in general and the persons with such a profile in particular.","container-title":"Archives of Legal Medicine","DOI":"10.1016/j.aolm.2024.200528","ISSN":"2950-3949","issue":"2","journalAbbreviation":"Archives of Legal Medicine","page":"200528","source":"ScienceDirect","title":"Profil épidémiologique, clinique et criminologique des agresseurs sexuels. À propos de l’étude d’une série expertale tunisienne","volume":"16","author":[{"family":"Charfi","given":"N."},{"family":"Chamseddine","given":"A."},{"family":"Omri","given":"S."},{"family":"Feki","given":"R."},{"family":"Smaoui","given":"N."},{"family":"Gassara","given":"I."},{"family":"Zouari","given":"L."},{"family":"Maâlej","given":"M."},{"family":"Ben Thabet","given":"J."},{"family":"Maâlej Bouali","given":"M."}],"issued":{"date-parts":[["2025",6,1]]}}}],"schema":"https://github.com/citation-style-language/schema/raw/master/csl-citation.json"}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N. Charfi et al., “Epidemiological, Clinical, and Criminological Profile of Sexual Offenders. Regarding the Study of a Tunisian Expert Series," </w:t>
      </w:r>
      <w:r w:rsidRPr="006A6C13">
        <w:rPr>
          <w:rFonts w:ascii="Garamond" w:hAnsi="Garamond" w:cstheme="majorBidi"/>
          <w:i/>
          <w:iCs/>
          <w:kern w:val="0"/>
          <w:sz w:val="20"/>
          <w:szCs w:val="20"/>
        </w:rPr>
        <w:t>Archives of Legal Medicine</w:t>
      </w:r>
      <w:r w:rsidRPr="006A6C13">
        <w:rPr>
          <w:rFonts w:ascii="Garamond" w:hAnsi="Garamond" w:cstheme="majorBidi"/>
          <w:kern w:val="0"/>
          <w:sz w:val="20"/>
          <w:szCs w:val="20"/>
        </w:rPr>
        <w:t xml:space="preserve"> 16, no. 2 (2025): 200528, https://doi.org/10.1016/j.aolm.2024.200528.</w:t>
      </w:r>
      <w:r w:rsidRPr="006A6C13">
        <w:rPr>
          <w:rFonts w:ascii="Garamond" w:hAnsi="Garamond" w:cstheme="majorBidi"/>
          <w:sz w:val="20"/>
          <w:szCs w:val="20"/>
        </w:rPr>
        <w:fldChar w:fldCharType="end"/>
      </w:r>
    </w:p>
  </w:footnote>
  <w:footnote w:id="6">
    <w:p w14:paraId="5CAFA85D"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{"citationID":"4Wx7TyxY","properties":{"formattedCitation":"Lin Li, \\uc0\\u8220{}Chapter 1 - Democracy and the Rule of Law in Contemporary China,\\uc0\\u8221{} in {\\i{}Building the Rule of Law in China}, ed. Lin Li (Elsevier, 2017), https://doi.org/10.1016/B978-0-12-811930-3.00001-5.","plainCitation":"Lin Li, “Chapter 1 - Democracy and the Rule of Law in Contemporary China,” in Building the Rule of Law in China, ed. Lin Li (Elsevier, 2017), https://doi.org/10.1016/B978-0-12-811930-3.00001-5.","noteIndex":6},"citationItems":[{"id":93,"uris":["http://zotero.org/users/17696806/items/SIYBPN6Y"],"itemData":{"id":93,"type":"chapter","abstract":"Issues relating to democracy and the rule of law are the main issues in the development of China’s rule of law. There is a need to develop a socialist democracy, improve the socialist rule of law, institutionalize and legalize democracy, and bring all works of the state under the rule of law in order to build China into a modern socialist country. In the first two decades of the reform and opening up, China adhered to the idea that democracy is the premise of the rule of law while the rule of law is the guarantee of democracy. In this connection, democratic development was often prioritized. Thereafter, more and more developing countries suffered from setbacks, regressions, and failures in implementing the western mode of democracy. Today, China is all the more confident and determined in the development road of socialist democracy and rule of law with Chinese characteristics, and is putting more emphasis on refraining from indiscriminately copying the western mode of democratic constitutionalism. This chapter covers issues relating to democracy and rule of law in the Chinese context, and discusses how the current government can be rebuilt as a socialist democracy with its corresponding goals.","container-title":"Building the Rule of Law in China","ISBN":"978-0-12-811930-3","note":"DOI: 10.1016/B978-0-12-811930-3.00001-5","page":"1-58","publisher":"Elsevier","source":"ScienceDirect","title":"Chapter 1 - Democracy and the Rule of Law in Contemporary China","URL":"https://www.sciencedirect.com/science/article/pii/B9780128119303000015","author":[{"family":"Li","given":"Lin"}],"editor":[{"family":"Li","given":"Lin"}],"accessed":{"date-parts":[["2025",8,6]]},"issued":{"date-parts":[["2017",1,1]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Lin Li, “Chapter 1 - Democracy and the Rule of Law in Contemporary China,” in </w:t>
      </w:r>
      <w:r w:rsidRPr="006A6C13">
        <w:rPr>
          <w:rFonts w:ascii="Garamond" w:hAnsi="Garamond" w:cstheme="majorBidi"/>
          <w:i/>
          <w:iCs/>
          <w:kern w:val="0"/>
          <w:sz w:val="20"/>
          <w:szCs w:val="20"/>
        </w:rPr>
        <w:t xml:space="preserve">Building the Rule of Law in China, </w:t>
      </w:r>
      <w:r w:rsidRPr="006A6C13">
        <w:rPr>
          <w:rFonts w:ascii="Garamond" w:hAnsi="Garamond" w:cstheme="majorBidi"/>
          <w:kern w:val="0"/>
          <w:sz w:val="20"/>
          <w:szCs w:val="20"/>
        </w:rPr>
        <w:t>ed. Lin Li (Elsevier, 2017), https://doi.org/10.1016/B978-0-12-811930-3.00001-5.</w:t>
      </w:r>
      <w:r w:rsidRPr="006A6C13">
        <w:rPr>
          <w:rFonts w:ascii="Garamond" w:hAnsi="Garamond" w:cstheme="majorBidi"/>
          <w:sz w:val="20"/>
          <w:szCs w:val="20"/>
        </w:rPr>
        <w:fldChar w:fldCharType="end"/>
      </w:r>
    </w:p>
  </w:footnote>
  <w:footnote w:id="7">
    <w:p w14:paraId="59DAE302"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{"citationID":"8DeCVKmd","properties":{"formattedCitation":"Ahmad Rofii, \\uc0\\u8220{}Constitutional Limits of Islamic Law: God in the Preamble to the Indonesian Constitution,\\uc0\\u8221{} {\\i{}Journal of Law, Religion and State} 5, no. 2 (2023), https://doi.org/10.1163/22124810-11010001.","plainCitation":"Ahmad Rofii, “Constitutional Limits of Islamic Law: God in the Preamble to the Indonesian Constitution,” Journal of Law, Religion and State 5, no. 2 (2023), https://doi.org/10.1163/22124810-11010001.","noteIndex":7},"citationItems":[{"id":16,"uris":["http://zotero.org/users/local/yKBDuK4m/items/JG7XNKVG","http://zotero.org/users/17696806/items/JG7XNKVG"],"itemData":{"id":16,"type":"article-journal","abstract":"Abstract The references to God in the preamble to the Indonesian Constitution raise a fundamental question, “do these references mean that the Constitution should be religious?” This paper aims to propose a new interpretation to the references to God in the preamble. Particularly, it suggests reinterpretation of the trajectory of the phrase “belief in One and Only God” in the making of the 1945 Constitution and during the amendment process, and of its legal significance. This article will also examine the implication of those references for the legitimacy of the state implementation of Islamic law. By analyzing the Constitutional Court’s decisions in the Religious Court Jurisdiction case, this article further investigates the implication of the constitutional interpretation of this phrase for the constitutionality of Islamic law. It argues that the preamble which is secular in nature provides the paradigm for enabling and limiting the institutionalization of religion, including Islamic law.","container-title":"Journal of Law, Religion and State","DOI":"10.1163/22124810-11010001","issue":"2","language":"en","note":"publisher: Brill","source":"brill.com","title":"Constitutional Limits of Islamic Law: God in the Preamble to the Indonesian Constitution","title-short":"Constitutional Limits of Islamic Law","URL":"https://brill.com/view/journals/jlrs/11/1-3/article-p1_001.xml","volume":"5","author":[{"family":"Rofii","given":"Ahmad"}],"accessed":{"date-parts":[["2025",8,5]]},"issued":{"date-parts":[["2023",12,11]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Ahmad Rofii, “Constitutional Limits of Islamic Law: God in the Preamble to the Indonesian Constitution,” </w:t>
      </w:r>
      <w:r w:rsidRPr="006A6C13">
        <w:rPr>
          <w:rFonts w:ascii="Garamond" w:hAnsi="Garamond" w:cstheme="majorBidi"/>
          <w:i/>
          <w:iCs/>
          <w:kern w:val="0"/>
          <w:sz w:val="20"/>
          <w:szCs w:val="20"/>
        </w:rPr>
        <w:t>Journal of Law, Religion and State</w:t>
      </w:r>
      <w:r w:rsidRPr="006A6C13">
        <w:rPr>
          <w:rFonts w:ascii="Garamond" w:hAnsi="Garamond" w:cstheme="majorBidi"/>
          <w:kern w:val="0"/>
          <w:sz w:val="20"/>
          <w:szCs w:val="20"/>
        </w:rPr>
        <w:t xml:space="preserve"> 5, no. 2 (2023), https://doi.org/10.1163/22124810-11010001.</w:t>
      </w:r>
      <w:r w:rsidRPr="006A6C13">
        <w:rPr>
          <w:rFonts w:ascii="Garamond" w:hAnsi="Garamond" w:cstheme="majorBidi"/>
          <w:sz w:val="20"/>
          <w:szCs w:val="20"/>
        </w:rPr>
        <w:fldChar w:fldCharType="end"/>
      </w:r>
    </w:p>
  </w:footnote>
  <w:footnote w:id="8">
    <w:p w14:paraId="3D439ACB"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{"citationID":"6olV2FLm","properties":{"formattedCitation":"Nurrohman Syarif et al., \\uc0\\u8220{}Political Theology: How God\\uc0\\u8217{}s Law Is Applied in the Context of Indonesian Democracy Based on Pancasila,\\uc0\\u8221{} {\\i{}Cogent Arts &amp; Humanities} 11, no. 1 (2024): 2407104, https://doi.org/10.1080/23311983.2024.2407104.","plainCitation":"Nurrohman Syarif et al., “Political Theology: How God’s Law Is Applied in the Context of Indonesian Democracy Based on Pancasila,” Cogent Arts &amp; Humanities 11, no. 1 (2024): 2407104, https://doi.org/10.1080/23311983.2024.2407104.","noteIndex":8},"citationItems":[{"id":18,"uris":["http://zotero.org/users/local/yKBDuK4m/items/NE4CRXYQ","http://zotero.org/users/17696806/items/NE4CRXYQ"],"itemData":{"id":18,"type":"article-journal","abstract":"The purpose of this study is to analyse the experience of Indonesian Muslims in formulating a democratic political system that is able to combine the sovereignty of God with the sovereignty of people by focusing on how sharia law as God law be practiced democratically in Indonesia. Through qualitative research in the form of case study, this research finds that the ability of Indonesia to combine God’s sovereignty and people sovereignty is achieved through continuous discourses, dialogues and negotiation base on the acceptance of the principle of pluralism, inclusivism (Bhinneka Tunggal Ika) and Pancasila as the state ideology. In line with this principle, Indonesia provides freedom for Muslims to choose Islamic law (sharia) which is practiced individually, while at the level of public policy, the state chooses a number of opinions in Islamic law that are in line with the spirit of Pancasila and the constitution, eclectically. So, in practicing Islamic law, God’s sovereignty is placed at the theological or metaphysical level, while at the practical level, it is the people who hold the highest sovereignty through what is called democratic sharia. So, in practice, ideology based on religion is placed as a sub-ideology of Pancasila. While democratic Pancasila was broadly accepted, the remaining problem is how human rights and civil liberty able to be fully protected.","container-title":"Cogent Arts &amp; Humanities","DOI":"10.1080/23311983.2024.2407104","ISSN":"null","issue":"1","note":"publisher: Cogent OA\n_eprint: https://doi.org/10.1080/23311983.2024.2407104","page":"2407104","source":"Taylor and Francis+NEJM","title":"Political theology: how God’s law is applied in the context of Indonesian democracy based on Pancasila","title-short":"Political theology","volume":"11","author":[{"family":"Syarif","given":"Nurrohman"},{"literal":"Zulbaidah"},{"family":"Septiadi","given":"Muhammad Andi"}],"issued":{"date-parts":[["2024",12,31]]}}}],"schema":"https://github.com/citation-style-language/schema/raw/master/csl-citation.json"}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Nurrohman Syarif et al., “Political Theology: How God’s Law Is Applied in the Context of Indonesian Democracy Based on Pancasila,” </w:t>
      </w:r>
      <w:r w:rsidRPr="006A6C13">
        <w:rPr>
          <w:rFonts w:ascii="Garamond" w:hAnsi="Garamond" w:cstheme="majorBidi"/>
          <w:i/>
          <w:iCs/>
          <w:kern w:val="0"/>
          <w:sz w:val="20"/>
          <w:szCs w:val="20"/>
        </w:rPr>
        <w:t>Cogent Arts &amp;amp; Humanities</w:t>
      </w:r>
      <w:r w:rsidRPr="006A6C13">
        <w:rPr>
          <w:rFonts w:ascii="Garamond" w:hAnsi="Garamond" w:cstheme="majorBidi"/>
          <w:kern w:val="0"/>
          <w:sz w:val="20"/>
          <w:szCs w:val="20"/>
        </w:rPr>
        <w:t xml:space="preserve"> 11, no. 1 (2024): 2407104, https://doi.org/10.1080/23311983.2024.2407104.</w:t>
      </w:r>
      <w:r w:rsidRPr="006A6C13">
        <w:rPr>
          <w:rFonts w:ascii="Garamond" w:hAnsi="Garamond" w:cstheme="majorBidi"/>
          <w:sz w:val="20"/>
          <w:szCs w:val="20"/>
        </w:rPr>
        <w:fldChar w:fldCharType="end"/>
      </w:r>
    </w:p>
  </w:footnote>
  <w:footnote w:id="9">
    <w:p w14:paraId="65963A21"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{"citationID":"d8vnBUy5","properties":{"formattedCitation":"Sri Rezki and Amril M, \\uc0\\u8220{}Transformasi Ketatanegaraan Islam: Telaah Historis Terhadap Ijtihad Politik Umar Bin Khattab,\\uc0\\u8221{} {\\i{}Takuana: Jurnal Pendidikan, Sains, Dan Humaniora} 4, no. 1 (2025): 68\\uc0\\u8211{}81, https://doi.org/10.56113/takuana.v4i1.127.","plainCitation":"Sri Rezki and Amril M, “Transformasi Ketatanegaraan Islam: Telaah Historis Terhadap Ijtihad Politik Umar Bin Khattab,” Takuana: Jurnal Pendidikan, Sains, Dan Humaniora 4, no. 1 (2025): 68–81, https://doi.org/10.56113/takuana.v4i1.127.","noteIndex":9},"citationItems":[{"id":23,"uris":["http://zotero.org/users/local/yKBDuK4m/items/EWJDIXMP","http://zotero.org/users/17696806/items/EWJDIXMP"],"itemData":{"id":23,"type":"article-journal","abstract":"The leadership of Umar ibn al-Khattab marked a pivotal transformation in early Islamic governance, shifting Islam from a spiritual community into a structured political entity. This study examines the administrative reforms and statecraft innovations introduced by Umar, with a focus on his political ijtihad in shaping a functional and inclusive Islamic polity. Using a historical-critical approach and qualitative analysis of classical sources and modern scholarship, the paper explores Umar’s establishment of key institutions such as the Diwan system, separation of powers, judicial independence, public finance, and internal security. His reformist ijtihad, including the abolition of zakat for muallaf, suspension of hudud during famine, and institutionalization of public consultation, reflects a dynamic interpretation of Islamic governance responsive to socio-political realities. The study argues that Umar’s policies laid the foundational framework for Islamic constitutionalism and demonstrate the flexibility of Islamic law in adapting to administrative complexity. These reforms reveal not only Umar’s personal virtues of justice, consultation, and austerity but also a visionary political strategy that integrated religious principles with pragmatic state-building.","container-title":"Takuana: Jurnal Pendidikan, Sains, dan Humaniora","DOI":"10.56113/takuana.v4i1.127","ISSN":"2829-4831","issue":"1","language":"en","page":"68-81","source":"mail.man4kotapekanbaru.sch.id","title":"Transformasi ketatanegaraan Islam: Telaah historis terhadap ijtihad politik Umar bin Khattab","title-short":"Transformasi ketatanegaraan Islam","volume":"4","author":[{"family":"Rezki","given":"Sri"},{"family":"M","given":"Amril"}],"issued":{"date-parts":[["2025",6,12]]}}}],"schema":"https://github.com/citation-style-language/schema/raw/master/csl-citation.json"}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Sri Rezki and Amril M, “The Transformation of Islamic Governance: A Historical Analysis of Umar Bin Khattab’s Political Ijtihad,” </w:t>
      </w:r>
      <w:r w:rsidRPr="006A6C13">
        <w:rPr>
          <w:rFonts w:ascii="Garamond" w:hAnsi="Garamond" w:cstheme="majorBidi"/>
          <w:i/>
          <w:iCs/>
          <w:kern w:val="0"/>
          <w:sz w:val="20"/>
          <w:szCs w:val="20"/>
        </w:rPr>
        <w:t>Takuana: Journal of Education, Science, and Humanities</w:t>
      </w:r>
      <w:r w:rsidRPr="006A6C13">
        <w:rPr>
          <w:rFonts w:ascii="Garamond" w:hAnsi="Garamond" w:cstheme="majorBidi"/>
          <w:kern w:val="0"/>
          <w:sz w:val="20"/>
          <w:szCs w:val="20"/>
        </w:rPr>
        <w:t xml:space="preserve"> 4, no. 1 (2025): 68–81, https://doi.org/10.56113/takuana.v4i1.127.</w:t>
      </w:r>
      <w:r w:rsidRPr="006A6C13">
        <w:rPr>
          <w:rFonts w:ascii="Garamond" w:hAnsi="Garamond" w:cstheme="majorBidi"/>
          <w:sz w:val="20"/>
          <w:szCs w:val="20"/>
        </w:rPr>
        <w:fldChar w:fldCharType="end"/>
      </w:r>
    </w:p>
  </w:footnote>
  <w:footnote w:id="10">
    <w:p w14:paraId="4F4102C4"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{"citationID":"D3Iq2YIK","properties":{"formattedCitation":"Mappasessu Mappasessu, \\uc0\\u8220{}Analysis of the Theory of the Enactment of Islamic Law: Implications and Challenges in the Indonesian,\\uc0\\u8221{} {\\i{}JHK\\uc0\\u8239{}: Jurnal Hukum Dan Keadilan} 1, no. 4 (n.d.), https://doi.org/10.61942/jhk.v1i4.175.","plainCitation":"Mappasessu Mappasessu, “Analysis of the Theory of the Enactment of Islamic Law: Implications and Challenges in the Indonesian,” JHK</w:instrText>
      </w:r>
      <w:r w:rsidRPr="006A6C13">
        <w:rPr>
          <w:rFonts w:ascii="Times New Roman"/>
          <w:sz w:val="20"/>
          <w:szCs w:val="20"/>
        </w:rPr>
        <w:instrText> </w:instrText>
      </w:r>
      <w:r w:rsidRPr="006A6C13">
        <w:rPr>
          <w:rFonts w:ascii="Garamond" w:hAnsi="Garamond" w:cstheme="majorBidi"/>
          <w:sz w:val="20"/>
          <w:szCs w:val="20"/>
        </w:rPr>
        <w:instrText xml:space="preserve">: Jurnal Hukum Dan Keadilan 1, no. 4 (n.d.), https://doi.org/10.61942/jhk.v1i4.175.","noteIndex":10},"citationItems":[{"id":27,"uris":["http://zotero.org/users/17696806/items/S3HUBDPK"],"itemData":{"id":27,"type":"article-journal","container-title":"JHK : Jurnal Hukum dan Keadilan","DOI":"https://doi.org/10.61942/jhk.v1i4.175","ISSN":"3423-1341","issue":"4","title":"Analysis of the Theory of the Enactment of Islamic Law: Implications and Challenges in the Indonesian","URL":"https://jurnalhafasy.com/index.php/jhk/article/view/175","volume":"1","author":[{"literal":"Mappasessu Mappasessu"}],"accessed":{"date-parts":[["2025",8,5]]}}}],"schema":"https://github.com/citation-style-language/schema/raw/master/csl-citation.json"}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Mappasessu Mappasessu, “Analysis of the Theory of the Enactment of Islamic Law: Implications and Challenges in Indonesia,” </w:t>
      </w:r>
      <w:r w:rsidRPr="006A6C13">
        <w:rPr>
          <w:rFonts w:ascii="Garamond" w:hAnsi="Garamond" w:cstheme="majorBidi"/>
          <w:i/>
          <w:iCs/>
          <w:sz w:val="20"/>
          <w:szCs w:val="20"/>
        </w:rPr>
        <w:t>JHK</w:t>
      </w:r>
      <w:r w:rsidRPr="006A6C13">
        <w:rPr>
          <w:rFonts w:ascii="Times New Roman"/>
          <w:i/>
          <w:iCs/>
          <w:sz w:val="20"/>
          <w:szCs w:val="20"/>
        </w:rPr>
        <w:t> </w:t>
      </w:r>
      <w:r w:rsidRPr="006A6C13">
        <w:rPr>
          <w:rFonts w:ascii="Garamond" w:hAnsi="Garamond" w:cstheme="majorBidi"/>
          <w:i/>
          <w:iCs/>
          <w:sz w:val="20"/>
          <w:szCs w:val="20"/>
        </w:rPr>
        <w:t>: Journal of Law and Justice</w:t>
      </w:r>
      <w:r w:rsidRPr="006A6C13">
        <w:rPr>
          <w:rFonts w:ascii="Garamond" w:hAnsi="Garamond" w:cstheme="majorBidi"/>
          <w:sz w:val="20"/>
          <w:szCs w:val="20"/>
        </w:rPr>
        <w:t xml:space="preserve"> 1, no. 4 (n.d.), https://doi.org/10.61942/jhk.v1i4.175.</w:t>
      </w:r>
      <w:r w:rsidRPr="006A6C13">
        <w:rPr>
          <w:rFonts w:ascii="Garamond" w:hAnsi="Garamond" w:cstheme="majorBidi"/>
          <w:sz w:val="20"/>
          <w:szCs w:val="20"/>
        </w:rPr>
        <w:fldChar w:fldCharType="end"/>
      </w:r>
    </w:p>
  </w:footnote>
  <w:footnote w:id="11">
    <w:p w14:paraId="0C13FFEF"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{"citationID":"hRqTqFGp","properties":{"formattedCitation":"Muhammad Rasyid et al., \\uc0\\u8220{}Scientific Consideration in the Concept of Islamic Law in Indonesia\\uc0\\u8239{}: A Study on The Fatwas of Falakiyah Of MUI,\\uc0\\u8221{} {\\i{}Al-Daulah: Jurnal Hukum Dan Perundangan Islam} 13, no. 2 (2023): 2, https://doi.org/10.15642/ad.2023.13.2.202-229.","plainCitation":"Muhammad Rasyid et al., “Scientific Consideration in the Concept of Islamic Law in Indonesia</w:instrText>
      </w:r>
      <w:r w:rsidRPr="006A6C13">
        <w:rPr>
          <w:rFonts w:ascii="Times New Roman"/>
          <w:sz w:val="20"/>
          <w:szCs w:val="20"/>
        </w:rPr>
        <w:instrText> </w:instrText>
      </w:r>
      <w:r w:rsidRPr="006A6C13">
        <w:rPr>
          <w:rFonts w:ascii="Garamond" w:hAnsi="Garamond" w:cstheme="majorBidi"/>
          <w:sz w:val="20"/>
          <w:szCs w:val="20"/>
        </w:rPr>
        <w:instrText xml:space="preserve">: A Study on The Fatwas of Falakiyah Of MUI,” Al-Daulah: Jurnal Hukum Dan Perundangan Islam 13, no. 2 (2023): 2, https://doi.org/10.15642/ad.2023.13.2.202-229.","noteIndex":11},"citationItems":[{"id":25,"uris":["http://zotero.org/users/local/yKBDuK4m/items/A8E9ZEVH","http://zotero.org/users/17696806/items/A8E9ZEVH"],"itemData":{"id":25,"type":"article-journal","abstract":"This study aims to incorporate scientific consideration in the application of falakiyah fatwas of the Indonesian Ulema Council and maps the patterns of the nexus between religion and science in those fatwas. This research involved a library study and a qualitative method. The approaches took into account ushūl fiqh and scientific approaches. With regard to the theoretical fundamentals, this research adheres to cum-doctrinaire introduced by A. Mukti Ali and the theory relating to the nexus between religion and sciences by Ian G. Barbour. The primary data were sourced from six falakiyah fatwas by the Indonesian Ulema Council from 1976-2010. The data were garnered from documentation and analysed with content analysis. The research results show that scientific studies in falakiyah fatwas of the Indonesian Ulema Council play the following three roles: first, scientific studies are to help understand problems that religious knowledge cannot fathom; second, scientific studies along with syar’ī theorem are referred to as a primary consideration in setting a fatwa; third, the scientific studies serve as the basis of amendments in a fatwa. Unfortunately, Scientific studies are not always consistently taken into account in setting falakiyah fatwah of the council, thereby sparking diverging religious patterns intertwining with sciences in falakiyah fatwas, ranging from conflict relations, independence, and dialogues, to integration.","container-title":"Al-Daulah: Jurnal Hukum dan Perundangan Islam","DOI":"10.15642/ad.2023.13.2.202-229","ISSN":"2503-0922","issue":"2","language":"en","license":"Copyright (c) 2023 Al-Daulah: Jurnal Hukum dan Perundangan Islam","note":"number: 2","page":"202-229","source":"jurnalfsh.uinsa.ac.id","title":"Scientific Consideration in the Concept of Islamic Law in Indonesia : A Study on The Fatwas of Falakiyah Of MUI","title-short":"Scientific Consideration in the Concept of Islamic Law in Indonesia","volume":"13","author":[{"family":"Rasyid","given":"Muhammad"},{"family":"Aseri","given":"Akh Fauzi"},{"family":"Sukarni","given":"Sukarni"},{"family":"Aseri","given":"Muhsin"}],"issued":{"date-parts":[["2023",10,1]]}}}],"schema":"https://github.com/citation-style-language/schema/raw/master/csl-citation.json"}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Muhammad Rasyid et al., “Scientific Consideration in the Concept of Islamic Law in Indonesia: A Study on The Fatwas of Falakiyah Of MUI,” </w:t>
      </w:r>
      <w:r w:rsidRPr="006A6C13">
        <w:rPr>
          <w:rFonts w:ascii="Garamond" w:hAnsi="Garamond" w:cstheme="majorBidi"/>
          <w:i/>
          <w:iCs/>
          <w:kern w:val="0"/>
          <w:sz w:val="20"/>
          <w:szCs w:val="20"/>
        </w:rPr>
        <w:t>Al-Daulah: Journal of Islamic Law and Legislation</w:t>
      </w:r>
      <w:r w:rsidRPr="006A6C13">
        <w:rPr>
          <w:rFonts w:ascii="Garamond" w:hAnsi="Garamond" w:cstheme="majorBidi"/>
          <w:kern w:val="0"/>
          <w:sz w:val="20"/>
          <w:szCs w:val="20"/>
        </w:rPr>
        <w:t xml:space="preserve"> 13, no. 2 (2023): 2, https://doi.org/10.15642/ad.2023.13.2.202-229.</w:t>
      </w:r>
      <w:r w:rsidRPr="006A6C13">
        <w:rPr>
          <w:rFonts w:ascii="Garamond" w:hAnsi="Garamond" w:cstheme="majorBidi"/>
          <w:sz w:val="20"/>
          <w:szCs w:val="20"/>
        </w:rPr>
        <w:fldChar w:fldCharType="end"/>
      </w:r>
    </w:p>
  </w:footnote>
  <w:footnote w:id="12">
    <w:p w14:paraId="764E286C"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{"citationID":"k3uXGdZG","properties":{"formattedCitation":"Alias Azhar et al., \\uc0\\u8220{}Penyelidikan Fatwa Dalam Kerangka Maqasid Al-Syariah\\uc0\\u8239{}: Satu Tinjauan: [Fatawa Research In The Framework Of The Maqasid Al-Sharia: An Overview],\\uc0\\u8221{} {\\i{}Ulum Islamiyyah} 20 (March 2017): 47\\uc0\\u8211{}65, https://doi.org/10.33102/uij.vol20no0.40.","plainCitation":"Alias Azhar et al., “Penyelidikan Fatwa Dalam Kerangka Maqasid Al-Syariah</w:instrText>
      </w:r>
      <w:r w:rsidRPr="006A6C13">
        <w:rPr>
          <w:rFonts w:ascii="Times New Roman"/>
          <w:sz w:val="20"/>
          <w:szCs w:val="20"/>
        </w:rPr>
        <w:instrText> </w:instrText>
      </w:r>
      <w:r w:rsidRPr="006A6C13">
        <w:rPr>
          <w:rFonts w:ascii="Garamond" w:hAnsi="Garamond" w:cstheme="majorBidi"/>
          <w:sz w:val="20"/>
          <w:szCs w:val="20"/>
        </w:rPr>
        <w:instrText xml:space="preserve">: Satu Tinjauan: [Fatawa Research In The Framework Of The Maqasid Al-Sharia: An Overview],” Ulum Islamiyyah 20 (March 2017): 47–65, https://doi.org/10.33102/uij.vol20no0.40.","noteIndex":12},"citationItems":[{"id":71,"uris":["http://zotero.org/users/17696806/items/F8A3TP9L"],"itemData":{"id":71,"type":"article-journal","abstract":"The objective of fatwa research has a close relationship with the objectives of Shariah (Maqasid al-Sharia). The society is now faced with a new problem, which is caused by the changing patterns of life and the rapid development of science and technology ,, that give rise to a new cyber era. To solve all the problems of the human race in this new millennium, the fatwa institution must conduct an istinbat of hukm through research of fatwa systematically and effectively within the framework of Maqasid al-Sharia. With this basis, Muslim jurists or Sharia researcher are doing fatwa research more efficiently and effectively through. their diligence in understanding the verses of Quran and Sunnah as well as seeking approaches to common methods for the realization of cases more specific. Thus, the most important framework as a catalyst to the effectiveness of fatwa research is the is the understanding of jurists of the texts and the current reality. This study enunciates three (3) methods, namely, content analysis that examines the epistemological framework of fatwa and ijtihad in Islam (the question of resources, the nature of science and the balance sheet valuation) used by a particular scholar / writer Sharia; methods and comparative historiography that examines the history of the construction of Islamic law and sociology research methods to examine the background of the community such as the socio-political structure, economy and institutions (such as the institution of fatwa) that affect the production of rules. The discussion of this article covers the definitions and concepts of Maqasid al-Sharia and fatwa, the authority of Maqasid al-Sharia and fatwa research within the framework of Maqasid al-Sharia. Fatwa research should take into account all scientific fields that are not limited to the field of religion alone, even though in cases involving science and technology. This also includes the intellectuals and the reality of life whether in the socio-economic, cultural, social interaction and so on. This is important because it determines the legal ruling based on the realities and challenges without denying the aspects of Maqasid al-Sharia. Therefore, the best method of fatwa research is to analyze the hukm without neglecting the aspects of the development and changes of the current reality. This effort is important to maintain Maqasid al- sharia in the process of istinbat of hukum based on contemporary fatwa research.\nABSTRAK\nObjektif penyelidikan fatwa sebenarnya wujud perkaitan yang rapat dengan objektif syariah (maqasid al-syariah) itu sendiri. Masyarakat kini berhadapan dengan pelbagai permasalahan baru, kesan daripada perubahan corak kehidupan dan perkembangan sains dan teknologi yang begitu pesat, sekaligus lahir satu era yang dikenali era siber. Untuk mengatasi segala permasalahan hidup umat manusia millenium baharu ini, institusi fatwa perlu melakukan istinbat hukum melalui penyelidikan fatwa dalam kerangka maqasid al-syariah secara sistematik dan berkesan. Di atas asas inilah fuqaha atau penyelidik Syariah melakukan usaha-usaha penyelidikan fatwa dengan efisien dan efektif. Mereka berijtihad dalam memahami nas-nas al-Quran dan sunah serta mencari pendekatan kepada kaedah umum untuk direalisasikan pada kes-kes yang lebih khusus. Oleh yang demikian kerangka terpenting sebagai pemangkin keberkesanan penyelidikan fatwa ialah pemahaman fuqaha terhadap nas-nas dan juga realiti semasa. Kajian menggarapkan tiga kaedah utama iaitu, analisis kandungan yang meneliti kerangka epistemologi fatwa dan ijtihad dalam Islam (persoalan sumber, sifat sesuatu 48 Vol.20 (April) 2017 ilmu dan neraca penilaian) yang digunakan seseorang sarjana/penulis syariah; kaedah pensejarahan dan perbandingan yang meneliti sejarah pembinaan hukum Islam dan kaedah penelitian sosiologi yang meneliti latar belakang masyarakat seperti aspek sosio-politik, struktur, ekonomi dan institusi tertentu (seperti institusi fatwa) yang mempengaruhi penghasilan peraturan.","container-title":"Ulum Islamiyyah","DOI":"10.33102/uij.vol20no0.40","ISSN":"2289-4799","language":"en","license":"Copyright (c) 2017 Alias Azhar, Muhammad Azam Hussain, Mohd Zakhiri Md. Nor, Mohamad Khairi Othman","page":"47-65","source":"uijournal.usim.edu.my","title":"Penyelidikan Fatwa Dalam Kerangka Maqasid Al-Syariah : Satu Tinjauan: [Fatawa Research In The Framework Of The Maqasid Al-Sharia: An Overview]","title-short":"Penyelidikan Fatwa Dalam Kerangka Maqasid Al-Syariah","volume":"20","author":[{"family":"Azhar","given":"Alias"},{"family":"Hussain","given":"Muhammad Azam"},{"family":"Nor","given":"Mohd Zakhiri Md"},{"family":"Othman","given":"Mohamad Khairi"}],"issued":{"date-parts":[["2017",3,31]]}}}],"schema":"https://github.com/citation-style-language/schema/raw/master/csl-citation.json"}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Alias Azhar et al., “Fatawa Research in the Framework of Maqasid Al-Sharia: An Overview,” </w:t>
      </w:r>
      <w:r w:rsidRPr="006A6C13">
        <w:rPr>
          <w:rFonts w:ascii="Garamond" w:hAnsi="Garamond" w:cstheme="majorBidi"/>
          <w:i/>
          <w:iCs/>
          <w:kern w:val="0"/>
          <w:sz w:val="20"/>
          <w:szCs w:val="20"/>
        </w:rPr>
        <w:t>Ulum Islamiyyah</w:t>
      </w:r>
      <w:r w:rsidRPr="006A6C13">
        <w:rPr>
          <w:rFonts w:ascii="Garamond" w:hAnsi="Garamond" w:cstheme="majorBidi"/>
          <w:kern w:val="0"/>
          <w:sz w:val="20"/>
          <w:szCs w:val="20"/>
        </w:rPr>
        <w:t xml:space="preserve"> 20 (March 2017): 47–65, https://doi.org/10.33102/uij.vol20no0.40.</w:t>
      </w:r>
      <w:r w:rsidRPr="006A6C13">
        <w:rPr>
          <w:rFonts w:ascii="Garamond" w:hAnsi="Garamond" w:cstheme="majorBidi"/>
          <w:sz w:val="20"/>
          <w:szCs w:val="20"/>
        </w:rPr>
        <w:fldChar w:fldCharType="end"/>
      </w:r>
    </w:p>
  </w:footnote>
  <w:footnote w:id="13">
    <w:p w14:paraId="2F71A4B5"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{"citationID":"GZGZW3x7","properties":{"formattedCitation":"Muhammad Azani, \\uc0\\u8220{}The Development of Islamic Law in Indonesia Through Traditional Theory and Legal Changes,\\uc0\\u8221{} {\\i{}Jurnal Mahkamah\\uc0\\u8239{}: Kajian Ilmu Hukum Dan Hukum Islam} 6, no. 2 (2021): 113\\uc0\\u8211{}28, https://doi.org/10.25217/jm.v6i2.1626.","plainCitation":"Muhammad Azani, “The Development of Islamic Law in Indonesia Through Traditional Theory and Legal Changes,” Jurnal Mahkamah</w:instrText>
      </w:r>
      <w:r w:rsidRPr="006A6C13">
        <w:rPr>
          <w:rFonts w:ascii="Times New Roman"/>
          <w:sz w:val="20"/>
          <w:szCs w:val="20"/>
        </w:rPr>
        <w:instrText> </w:instrText>
      </w:r>
      <w:r w:rsidRPr="006A6C13">
        <w:rPr>
          <w:rFonts w:ascii="Garamond" w:hAnsi="Garamond" w:cstheme="majorBidi"/>
          <w:sz w:val="20"/>
          <w:szCs w:val="20"/>
        </w:rPr>
        <w:instrText>: Kajian Ilmu Hukum Dan Hukum Islam 6, no. 2 (2021): 113</w:instrText>
      </w:r>
      <w:r w:rsidRPr="006A6C13">
        <w:rPr>
          <w:rFonts w:ascii="Garamond" w:hAnsi="Garamond" w:cs="Garamond"/>
          <w:sz w:val="20"/>
          <w:szCs w:val="20"/>
        </w:rPr>
        <w:instrText>–</w:instrText>
      </w:r>
      <w:r w:rsidRPr="006A6C13">
        <w:rPr>
          <w:rFonts w:ascii="Garamond" w:hAnsi="Garamond" w:cstheme="majorBidi"/>
          <w:sz w:val="20"/>
          <w:szCs w:val="20"/>
        </w:rPr>
        <w:instrText xml:space="preserve">28, https://doi.org/10.25217/jm.v6i2.1626.","noteIndex":13},"citationItems":[{"id":29,"uris":["http://zotero.org/users/17696806/items/T9QWB32C"],"itemData":{"id":29,"type":"article-journal","abstract":"Tujuan studi teori adat dan perubahan hukum dalm ushul fiqh adalah untuk memetakan kaitan antara Hukum Syariah, </w:instrText>
      </w:r>
      <w:r w:rsidRPr="006A6C13">
        <w:rPr>
          <w:rFonts w:ascii="Garamond" w:hAnsi="Garamond" w:cs="Garamond"/>
          <w:sz w:val="20"/>
          <w:szCs w:val="20"/>
        </w:rPr>
        <w:instrText>‘</w:instrText>
      </w:r>
      <w:r w:rsidRPr="006A6C13">
        <w:rPr>
          <w:rFonts w:ascii="Garamond" w:hAnsi="Garamond" w:cstheme="majorBidi"/>
          <w:sz w:val="20"/>
          <w:szCs w:val="20"/>
        </w:rPr>
        <w:instrText xml:space="preserve">Adat dan </w:instrText>
      </w:r>
      <w:r w:rsidRPr="006A6C13">
        <w:rPr>
          <w:rFonts w:ascii="Garamond" w:hAnsi="Garamond" w:cs="Garamond"/>
          <w:sz w:val="20"/>
          <w:szCs w:val="20"/>
        </w:rPr>
        <w:instrText>‘</w:instrText>
      </w:r>
      <w:r w:rsidRPr="006A6C13">
        <w:rPr>
          <w:rFonts w:ascii="Garamond" w:hAnsi="Garamond" w:cstheme="majorBidi"/>
          <w:sz w:val="20"/>
          <w:szCs w:val="20"/>
        </w:rPr>
        <w:instrText xml:space="preserve">Urf dalam Ushul Fiqh, sehingga dapat ditelusuri urgensi </w:instrText>
      </w:r>
      <w:r w:rsidRPr="006A6C13">
        <w:rPr>
          <w:rFonts w:ascii="Garamond" w:hAnsi="Garamond" w:cs="Garamond"/>
          <w:sz w:val="20"/>
          <w:szCs w:val="20"/>
        </w:rPr>
        <w:instrText>‘</w:instrText>
      </w:r>
      <w:r w:rsidRPr="006A6C13">
        <w:rPr>
          <w:rFonts w:ascii="Garamond" w:hAnsi="Garamond" w:cstheme="majorBidi"/>
          <w:sz w:val="20"/>
          <w:szCs w:val="20"/>
        </w:rPr>
        <w:instrText xml:space="preserve">urf dalam Kontekstualisasi&amp;nbsp; Hukum Islam&amp;nbsp; Di Indonesia bidang Hukum Ekonomi Syariah dan&amp;nbsp; Kompilasi Hukum Islam (KHI). Pendekatan&amp;nbsp; studi ini menggunakan penelitian hukum normatif (pendekatan konseptual). Sumber data&amp;nbsp; yang digunakan berasal dari data sumber sekunder, yakni &amp;nbsp;Bahan primer, bahan skunder, dan bahan tersier. Teknik pengumpulan data menggunakan&amp;nbsp; metode kajian kepustakaan atau studi dokumenter, sedangkan analisis data secara kualitatif.&amp;nbsp; Hasil studi adalah sebagai berikut:&amp;nbsp; 1) Hukum syariah&amp;nbsp; dan ‘adat&amp;nbsp; dan ‘urf &amp;nbsp;dalam realitas dapat terjadi benturan untuk mendapatkan status hukum,&amp;nbsp; a) benturan dapat terjadi&amp;nbsp; berkaitan dengan hukum dan yang tidak berkaitan dengan hukum, &amp;nbsp;sehingga&amp;nbsp; ‘Urf &amp;nbsp;didahulukan daripada syariat, b) 'Urf dengan syara' yang&amp;nbsp; terkait&amp;nbsp;&amp;nbsp; dengan materi hukum, &amp;nbsp;maka syariat didahulukan atas ‘urf, c) ‘Urf dengan umum nash al Quran, ‘urf dikuatkan untuk mentaksis umum nash, dan d)&amp;nbsp; ‘Urf dengan&amp;nbsp; Qiyas, ‘urf sebagai ijma’ tidak menemukan nash, sehingga bila&amp;nbsp; berbenturan dengan qiyas, maka harus didahulukan ‘Urf.&amp;nbsp; 2) &amp;nbsp;Urgensi 'Urf&amp;nbsp; Dalam&amp;nbsp; Pembaruan Hukum Islam di Indonesia bahwa kontekstualisasi syariah&amp;nbsp; yang berbeda secara diametral dengan norma adat ('urf) yang ada dibentuk fikih kontekstual dan lokal. Fiqh&amp;nbsp; dibentuk dan dirumuskan secara sadar dan sengaja menghubungkan antara nilai-nilai ideal syariah,&amp;nbsp; sebagai das sollen (apa yang seharusnya), dengan norma-norma kebiasaan nyata masyarakat,&amp;nbsp; sebagai das sein (apa adanya &amp;nbsp;3) Praktik ‘Adat atau 'Urf dalam&amp;nbsp; Kontekstualisasi&amp;nbsp; Hukum Islam&amp;nbsp; Di Indonesia bidang Hukum Ekonomi Syrariah dan&amp;nbsp; Kompilasi Hukum Islam (KHI) adalah a) Dalam pengembangan hukum ekonomi syariah di Indonesia,&amp;nbsp; munculnya pengaturan&amp;nbsp; ekonomi syariah&amp;nbsp; didasarkan pada&amp;nbsp; ‘adat atau ‘urf Indonesia.&amp;nbsp; Dasar penerimaan adat sebagai sumber hukum Islam adalah Q.S. 7 Ayat (199) yang berbunyi: “Jadilah engkau pemaaf dan suruhlah orang melakukan yang ma’ruf”, bahwa&amp;nbsp; “ma’ruf” &amp;nbsp;itu artinya dikenali, meningkat&amp;nbsp; menjadi arti diakui. “Diakui”&amp;nbsp; dalam pengertian mendapat pengakuan oleh masyarakat secara luas.&amp;nbsp; b)&amp;nbsp; Pada Kompilasi Hukum Islam (KHI)&amp;nbsp; dapat dilihat dari Posisi&amp;nbsp; 'urf&amp;nbsp; mempengaruhi hukum Islam di&amp;nbsp; Indonesia yang diformalkan dalam Kompilasi Hukum Islam (KHI). Praktik ‘urf terdapat dalam&amp;nbsp; 1) harta bersama suami&amp;nbsp; dan istri, 2)&amp;nbsp; wasiat wajibah untuk anak angkat dan&amp;nbsp; orang tua angkat, dan&amp;nbsp; 3) ahli waris&amp;nbsp; pengganti.&amp;nbsp;\n&amp;nbsp;","container-title":"Jurnal Mahkamah : Kajian Ilmu Hukum dan Hukum Islam","DOI":"10.25217/jm.v6i2.1626","ISSN":"2548-5679","issue":"2","language":"en","license":"Copyright (c) 2021 muhammad azani","page":"113-128","source":"journal.iaimnumetrolampung.ac.id","title":"The Development of Islamic Law in Indonesia Through Traditional Theory and Legal Changes","volume":"6","author":[{"family":"Azani","given":"Muhammad"}],"issued":{"date-parts":[["2021",12,30]]}}}],"schema":"https://github.com/citation-style-language/schema/raw/master/csl-citation.json"}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Muhammad Azani, “The Development of Islamic Law in Indonesia Through Traditional Theory and Legal Changes,” </w:t>
      </w:r>
      <w:r w:rsidRPr="006A6C13">
        <w:rPr>
          <w:rFonts w:ascii="Garamond" w:hAnsi="Garamond" w:cstheme="majorBidi"/>
          <w:i/>
          <w:iCs/>
          <w:kern w:val="0"/>
          <w:sz w:val="20"/>
          <w:szCs w:val="20"/>
        </w:rPr>
        <w:t>Jurnal Mahkamah: Kajian Ilmu Hukum Dan Hukum Islam</w:t>
      </w:r>
      <w:r w:rsidRPr="006A6C13">
        <w:rPr>
          <w:rFonts w:ascii="Garamond" w:hAnsi="Garamond" w:cstheme="majorBidi"/>
          <w:kern w:val="0"/>
          <w:sz w:val="20"/>
          <w:szCs w:val="20"/>
        </w:rPr>
        <w:t xml:space="preserve"> 6, no. 2 (2021): 113–28, https://doi.org/10.25217/jm.v6i2.1626.</w:t>
      </w:r>
      <w:r w:rsidRPr="006A6C13">
        <w:rPr>
          <w:rFonts w:ascii="Garamond" w:hAnsi="Garamond" w:cstheme="majorBidi"/>
          <w:sz w:val="20"/>
          <w:szCs w:val="20"/>
        </w:rPr>
        <w:fldChar w:fldCharType="end"/>
      </w:r>
    </w:p>
  </w:footnote>
  <w:footnote w:id="14">
    <w:p w14:paraId="35C875C4"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{"citationID":"z1NBDeFz","properties":{"formattedCitation":"Zulfikar Zulfikar, \\uc0\\u8220{}The Concept of Islamic Law Thought Of Sayyid Sabiq In The Book Of Fiqh Sunnah (Analytical Study In Distinguishing Bidh\\uc0\\u8217{}ah And Ikhtilaf),\\uc0\\u8221{} {\\i{}Al-Mashlahah Jurnal Hukum Islam Dan Pranata Sosial} 8, no. 01 (2020): 01, https://doi.org/10.30868/am.v8i01.2548.","plainCitation":"Zulfikar Zulfikar, “The Concept of Islamic Law Thought Of Sayyid Sabiq In The Book Of Fiqh Sunnah (Analytical Study In Distinguishing Bidh’ah And Ikhtilaf),” Al-Mashlahah Jurnal Hukum Islam Dan Pranata Sosial 8, no. 01 (2020): 01, https://doi.org/10.30868/am.v8i01.2548.","noteIndex":14},"citationItems":[{"id":31,"uris":["http://zotero.org/users/17696806/items/6EQFTK54"],"itemData":{"id":31,"type":"article-journal","abstract":"Sayyid Sabiq is a fiqh sunnah writer who strived to be an enlightener on the rise of taqlid (an Islamic term denoting the conformity of one person to the teaching of another) and the closing door to ijtihad (an Islamic legal term referring to independent reasoning or the thorough exertion of a jurist's mental faculty in finding a solution to a legal question) for Muslims.Â Muslims at that time disbelieved each other and always rubbed against differences in maddhab (a school of thought within fiqh; Islamic jurisprudence).Â Regarding ikhtilaf (an Islamic scholarly religious disagreement), according to Sayyid Sabiq there are forbidden ikhtilaf as well as the allowed one.Â Sayyid Sabiq's Concept of Islamic Law tends to be strict on certain legal issues and loose on others.Â This paper is classified as normative Islamic law research with a conceptual and philosophical-logical approach.Â The method of data analysis used in this research is the deductive-inductive method.Â The results of the study concluded that according to Sayyid Sabiq;Â the permanent Islamic law that cannot be changed has criteria as follows;Â a) has been explained in detail by nass (sentences from the Quran or hadith that are used as reasons or the basis for deciding a problem, as a guide in sharia law), b) the laws of aqidah (creed) and worship, c) all laws whose nass status is qaá¹­'Ä« ad-dilalah.Â Â Meanwhile, the dynamic Islamic law which follows changes in time and place has criteria as follows;Â a) laws that are only explained by the nass globally, b) laws on civil benefit, siyasa (politics), war and justice, c) and all the laws whose nass status is annÄ« ad-dilalah. Sayyid Sabiq's thoughts applied the integration of fiqh with aqidah (creed) and morals.Â That means, the substance of his thought has succeeded in eradicating the dichotomy of fiqh with other elements of Islamic teachings.","container-title":"Al-Mashlahah Jurnal Hukum Islam dan Pranata Sosial","DOI":"10.30868/am.v8i01.2548","ISSN":"2581-2556","issue":"01","language":"en","license":"Copyright (c) 2022 Zulfikar Zulfikar","note":"number: 01","source":"jurnal.staialhidayahbogor.ac.id","title":"The Concept of Islamic Law Thought Of Sayyid Sabiq In The Book Of Fiqh Sunnah (Analytical Study In Distinguishing Bidh'ah And Ikhtilaf)","URL":"https://jurnal.staialhidayahbogor.ac.id/index.php/am/article/view/2548","volume":"8","author":[{"family":"Zulfikar","given":"Zulfikar"}],"accessed":{"date-parts":[["2025",8,5]]},"issued":{"date-parts":[["2020",5,31]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Zulfikar Zulfikar, “The Concept of Islamic Law Thought Of Sayyid Sabiq In The Book Of Fiqh Sunnah (Analytical Study In Distinguishing Bidh’ah And Ikhtilaf),” </w:t>
      </w:r>
      <w:r w:rsidRPr="006A6C13">
        <w:rPr>
          <w:rFonts w:ascii="Garamond" w:hAnsi="Garamond" w:cstheme="majorBidi"/>
          <w:i/>
          <w:iCs/>
          <w:kern w:val="0"/>
          <w:sz w:val="20"/>
          <w:szCs w:val="20"/>
        </w:rPr>
        <w:t>Al-Mashlahah Journal of Islamic Law and Social Institutions</w:t>
      </w:r>
      <w:r w:rsidRPr="006A6C13">
        <w:rPr>
          <w:rFonts w:ascii="Garamond" w:hAnsi="Garamond" w:cstheme="majorBidi"/>
          <w:kern w:val="0"/>
          <w:sz w:val="20"/>
          <w:szCs w:val="20"/>
        </w:rPr>
        <w:t xml:space="preserve"> 8, no. 01 (2020): 01, https://doi.org/10.30868/am.v8i01.2548.</w:t>
      </w:r>
      <w:r w:rsidRPr="006A6C13">
        <w:rPr>
          <w:rFonts w:ascii="Garamond" w:hAnsi="Garamond" w:cstheme="majorBidi"/>
          <w:sz w:val="20"/>
          <w:szCs w:val="20"/>
        </w:rPr>
        <w:fldChar w:fldCharType="end"/>
      </w:r>
    </w:p>
  </w:footnote>
  <w:footnote w:id="15">
    <w:p w14:paraId="665ABB04"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{"citationID":"od8GVcVs","properties":{"formattedCitation":"Agus Moh Najib, \\uc0\\u8220{}Metodologi Ijtihad Mazhab Indonesia: Menelusuri Pemikiran Ushul Fikih Hazairin,\\uc0\\u8221{} {\\i{}Asy-Syir\\uc0\\u8217{}ah: Jurnal Ilmu Syari\\uc0\\u8217{}ah Dan Hukum} 50, no. 1 (2021): 1, https://doi.org/10.14421/ajish.v50i1.162.","plainCitation":"Agus Moh Najib, “Metodologi Ijtihad Mazhab Indonesia: Menelusuri Pemikiran Ushul Fikih Hazairin,” Asy-Syir’ah: Jurnal Ilmu Syari’ah Dan Hukum 50, no. 1 (2021): 1, https://doi.org/10.14421/ajish.v50i1.162.","noteIndex":15},"citationItems":[{"id":35,"uris":["http://zotero.org/users/17696806/items/M8KXXDUS"],"itemData":{"id":35,"type":"article-journal","abstract":"Hazairin is one of the pioneers who initiated the importance of  Islamic  law  with  Indonesian  pattern.  Even,  he  viewed  the importance  of  the  new  school  (mazhab)  in  Islamic  law,  namely  the Indonesian  mazhab. However, Hazairin’s thought on the methodology of ijtihad, as a basis for the establishment of a school of Islamic law, has not  been  widely  studied.  His  thought  which  was  more  studied  is  the idea  of  the  Indonesia  mazhab and  also  about  inheritance  law.  This article  specifically  explores  the  framework  of  Usul  Fiqh  proposed  by Hazairin. Epistemologically, the main topic of Usul Fiqh is about the sources of Islamic law and the method of how to formulate Islamic law from  the  source.  Therefore,  this  article  examines  Hazarin’s  thought about the two things, namely the sources of Islamic lawand its legal formulation method. From the study done, both on the  sources of law and Islamic law formulation method, Hazarin put the role of ulu al-amri (government, policy  makers)  in  a  strategic  position.  The  method  of legal formulation done by  ulu al-amrirequires  musyawarah(discussions), which  involves  jurists  and  other  relevant  scientific  experts  (collective ijtihad).  Results  of  ijtihad decided  by  ulu  al-amri will  automatically become binding formal rules of law, so that if the resultsof ijtihad is followed  and  practiced  by  the  public  widely,  it  will  become  a new school of Islamic law, namely the Indonesian mazhab.","container-title":"Asy-Syir'ah: Jurnal Ilmu Syari'ah dan Hukum","DOI":"10.14421/ajish.v50i1.162","ISSN":"2443-0757","issue":"1","language":"en","license":"Copyright (c) 2016 Asy-Syir'ah: Jurnal Ilmu Syari'ah dan Hukum","note":"number: 1","page":"1-20","source":"asy-syirah.uin-suka.com","title":"Metodologi Ijtihad Mazhab Indonesia: Menelusuri Pemikiran Ushul Fikih Hazairin","title-short":"Metodologi Ijtihad Mazhab Indonesia","volume":"50","author":[{"family":"Najib","given":"Agus Moh"}],"issued":{"date-parts":[["2021",6,1]]}}}],"schema":"https://github.com/citation-style-language/schema/raw/master/csl-citation.json"}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Agus Moh Najib, “The Methodology of Ijtihad in Indonesian Madhhabs: Tracing the Thought of Hazairin on Usul al-Fiqh,” </w:t>
      </w:r>
      <w:r w:rsidRPr="006A6C13">
        <w:rPr>
          <w:rFonts w:ascii="Garamond" w:hAnsi="Garamond" w:cstheme="majorBidi"/>
          <w:i/>
          <w:iCs/>
          <w:kern w:val="0"/>
          <w:sz w:val="20"/>
          <w:szCs w:val="20"/>
        </w:rPr>
        <w:t>Asy-Syir’ah: Journal of Sharia and Law</w:t>
      </w:r>
      <w:r w:rsidRPr="006A6C13">
        <w:rPr>
          <w:rFonts w:ascii="Garamond" w:hAnsi="Garamond" w:cstheme="majorBidi"/>
          <w:kern w:val="0"/>
          <w:sz w:val="20"/>
          <w:szCs w:val="20"/>
        </w:rPr>
        <w:t xml:space="preserve"> 50, no. 1 (2021): 1, https://doi.org/10.14421/ajish.v50i1.162.</w:t>
      </w:r>
      <w:r w:rsidRPr="006A6C13">
        <w:rPr>
          <w:rFonts w:ascii="Garamond" w:hAnsi="Garamond" w:cstheme="majorBidi"/>
          <w:sz w:val="20"/>
          <w:szCs w:val="20"/>
        </w:rPr>
        <w:fldChar w:fldCharType="end"/>
      </w:r>
    </w:p>
  </w:footnote>
  <w:footnote w:id="16">
    <w:p w14:paraId="41C567FD"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{"citationID":"UpJtJ1kG","properties":{"formattedCitation":"Zuly Qodir and Bilveer Singh, \\uc0\\u8220{}The Contestation of Contemporary Islam: Conservative Islam versus Progressive Islam,\\uc0\\u8221{} {\\i{}ESENSIA: Jurnal Ilmu-Ilmu Ushuluddin} 23, no. 2 (2022): 2, https://doi.org/10.14421/esensia.v23i2.4316.","plainCitation":"Zuly Qodir and Bilveer Singh, “The Contestation of Contemporary Islam: Conservative Islam versus Progressive Islam,” ESENSIA: Jurnal Ilmu-Ilmu Ushuluddin 23, no. 2 (2022): 2, https://doi.org/10.14421/esensia.v23i2.4316.","noteIndex":16},"citationItems":[{"id":38,"uris":["http://zotero.org/users/17696806/items/I22AANJL"],"itemData":{"id":38,"type":"article-journal","abstract":"This article analyzes the articulation of Islamic thought in the 2014 and 2019 General Elections in Indonesia, both of which were marked by efforts by progressive and conservative Muslims to dominate public spaces. Contestation was evident in these political discourses, with progressive Muslims advocating for moderatism, political ethics, and tolerance in narratives of inclusivism, pluralism, and tolerance while conservative Muslims disseminating extremism, the formalization of sharia law, and intolerance in narratives of exclusivism and homogenization. The analysis questions the continuity-discontinuity, motives, and actors of both progressive and conservative Muslim movements and investigates the challenges for progressive Muslims in disseminating their narratives in Indonesia. The result argues that massive religious organizations in Indonesia articulate, internalize, and institutionalize progressive thought within their organizations and educational institutions. This article encourages progressive Muslims to reckon with and countermeasure conservativism among religious and political elites whose narratives exploit religious sentiments for practical purposes.","container-title":"ESENSIA: Jurnal Ilmu-Ilmu Ushuluddin","DOI":"10.14421/esensia.v23i2.4316","ISSN":"2548-4729","issue":"2","language":"en","license":"Copyright (c) 2022 Zuly Qodir, Bilveer Singh","note":"number: 2","page":"147-165","source":"ejournal.uin-suka.ac.id","title":"The Contestation of Contemporary Islam: Conservative Islam versus Progressive Islam","title-short":"The Contestation of Contemporary Islam","volume":"23","author":[{"family":"Qodir","given":"Zuly"},{"family":"Singh","given":"Bilveer"}],"issued":{"date-parts":[["2022"]]}}}],"schema":"https://github.com/citation-style-language/schema/raw/master/csl-citation.json"}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Zuly Qodir and Bilveer Singh, “The Contestation of Contemporary Islam: Conservative Islam versus Progressive Islam,” </w:t>
      </w:r>
      <w:r w:rsidRPr="006A6C13">
        <w:rPr>
          <w:rFonts w:ascii="Garamond" w:hAnsi="Garamond" w:cstheme="majorBidi"/>
          <w:i/>
          <w:iCs/>
          <w:kern w:val="0"/>
          <w:sz w:val="20"/>
          <w:szCs w:val="20"/>
        </w:rPr>
        <w:t>ESENSIA: Journal of Ushuluddin Sciences</w:t>
      </w:r>
      <w:r w:rsidRPr="006A6C13">
        <w:rPr>
          <w:rFonts w:ascii="Garamond" w:hAnsi="Garamond" w:cstheme="majorBidi"/>
          <w:kern w:val="0"/>
          <w:sz w:val="20"/>
          <w:szCs w:val="20"/>
        </w:rPr>
        <w:t xml:space="preserve"> 23, no. 2 (2022): 2, https://doi.org/10.14421/esensia.v23i2.4316.</w:t>
      </w:r>
      <w:r w:rsidRPr="006A6C13">
        <w:rPr>
          <w:rFonts w:ascii="Garamond" w:hAnsi="Garamond" w:cstheme="majorBidi"/>
          <w:sz w:val="20"/>
          <w:szCs w:val="20"/>
        </w:rPr>
        <w:fldChar w:fldCharType="end"/>
      </w:r>
    </w:p>
  </w:footnote>
  <w:footnote w:id="17">
    <w:p w14:paraId="4D331F17"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{"citationID":"IcznaI3g","properties":{"formattedCitation":"Suud Sarim Karimullah, \\uc0\\u8220{}Religion and State in the Islamic Political Paradigm in Indonesia Perspective of Prof. Kamsi,\\uc0\\u8221{} {\\i{}Analisis: Jurnal Studi Keislaman} 22, no. 1 (2022): 53\\uc0\\u8211{}74, https://doi.org/10.24042/ajsk.v22i1.12648.","plainCitation":"Suud Sarim Karimullah, “Religion and State in the Islamic Political Paradigm in Indonesia Perspective of Prof. Kamsi,” Analisis: Jurnal Studi Keislaman 22, no. 1 (2022): 53–74, https://doi.org/10.24042/ajsk.v22i1.12648.","noteIndex":17},"citationItems":[{"id":40,"uris":["http://zotero.org/users/17696806/items/3RF3LCWP"],"itemData":{"id":40,"type":"article-journal","abstract":"The relationship between religion and the state has always been an actual problem in the discourse of Islamic political thought. This paper aims to describe the relationship between religion and the state in Indonesia with a focus on studying the Islamic political paradigm in the view of Prof. Kamsi, who is one of the professors in the study of Islamic law politics at UIN Sunan Kalijaga Yogyakarta. Then, library research with analytical descriptive nature is used in this research by conducting a descriptive study that aims to provide answers to various problems regarding the state of a particular subject or object in detail. Then, various data that have been obtained are analyzed and interpreted to get an adequate explanatory meaning. Furthermore, this study states that in the view of Prof. Kamsi. In general, the pattern of relations between religion and the state is not just a pattern of dichotomous relations that cancel each other out. However, the relationship between religion and the state must be harmoniously and proportionally established. This is intended so that the thinking process of Muslims will not be disturbed by the development of a country that is pioneering and building a better and functioning state order for the long term.","container-title":"Analisis: Jurnal Studi Keislaman","DOI":"10.24042/ajsk.v22i1.12648","ISSN":"2502-3969","issue":"1","language":"en","page":"53-74","source":"ejournal.radenintan.ac.id","title":"Religion and State in the Islamic Political Paradigm in Indonesia Perspective of Prof. Kamsi","volume":"22","author":[{"family":"Karimullah","given":"Suud Sarim"}],"issued":{"date-parts":[["2022",6,30]]}}}],"schema":"https://github.com/citation-style-language/schema/raw/master/csl-citation.json"}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Suud Sarim Karimullah, “Religion and State in the Islamic Political Paradigm in Indonesia: The Perspective of Prof. Kamsi,” </w:t>
      </w:r>
      <w:r w:rsidRPr="006A6C13">
        <w:rPr>
          <w:rFonts w:ascii="Garamond" w:hAnsi="Garamond" w:cstheme="majorBidi"/>
          <w:i/>
          <w:iCs/>
          <w:kern w:val="0"/>
          <w:sz w:val="20"/>
          <w:szCs w:val="20"/>
        </w:rPr>
        <w:t>Analisis: Journal of Islamic Studies</w:t>
      </w:r>
      <w:r w:rsidRPr="006A6C13">
        <w:rPr>
          <w:rFonts w:ascii="Garamond" w:hAnsi="Garamond" w:cstheme="majorBidi"/>
          <w:kern w:val="0"/>
          <w:sz w:val="20"/>
          <w:szCs w:val="20"/>
        </w:rPr>
        <w:t xml:space="preserve"> 22, no. 1 (2022): 53–74, https://doi.org/10.24042/ajsk.v22i1.12648.</w:t>
      </w:r>
      <w:r w:rsidRPr="006A6C13">
        <w:rPr>
          <w:rFonts w:ascii="Garamond" w:hAnsi="Garamond" w:cstheme="majorBidi"/>
          <w:sz w:val="20"/>
          <w:szCs w:val="20"/>
        </w:rPr>
        <w:fldChar w:fldCharType="end"/>
      </w:r>
    </w:p>
  </w:footnote>
  <w:footnote w:id="18">
    <w:p w14:paraId="3D3C8874"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{"citationID":"lb5NbbX5","properties":{"formattedCitation":"Muhamad Afrizal Sholichuddin et al., \\uc0\\u8220{}The Relationship of Islam and The State in Contemporary Islamic Political Discourse in Indonesia,\\uc0\\u8221{} {\\i{}Dirasah International Journal of Islamic Studies} 1, no. 2 (2023): 2, https://doi.org/10.59373/drs.v1i2.11.","plainCitation":"Muhamad Afrizal Sholichuddin et al., “The Relationship of Islam and The State in Contemporary Islamic Political Discourse in Indonesia,” Dirasah International Journal of Islamic Studies 1, no. 2 (2023): 2, https://doi.org/10.59373/drs.v1i2.11.","noteIndex":18},"citationItems":[{"id":42,"uris":["http://zotero.org/users/17696806/items/9M99T548"],"itemData":{"id":42,"type":"article-journal","abstract":"The purpose of this study was to relate the views in the context of Islamic politics in Indonesia, this article is intended to explore issues relating to relations between Islam and the state. This study was motivated by the desire to criticize the development and relationship between Islam and the state which is very dynamically coloring the political situation in “Islamic majority country” Indonesia. This article concludes that understanding the relationship between religion and state with an Islamic political approach is not meant to establish a religious state or an Islamic state of Indonesia but rather to fill the spaces that are functionally religion in order society, nation, and state., and secularistic relations.","container-title":"Dirasah International Journal of Islamic Studies","DOI":"10.59373/drs.v1i2.11","ISSN":"2986-9250","issue":"2","language":"en","license":"Copyright (c) 2023 Muhamad Afrizal Sholichuddin, Nicky Estu Putu Muchtar, Rizky Dwi Ratna","note":"number: 2","page":"78-88","source":"dirasah.pdtii.org","title":"The Relationship of Islam and The State in Contemporary Islamic Political Discourse in Indonesia","volume":"1","author":[{"family":"Sholichuddin","given":"Muhamad Afrizal"},{"family":"Muchtar","given":"Nicky Estu Putu"},{"family":"Ratna","given":"Rizky Dwi"}],"issued":{"date-parts":[["2023",10,29]]}}}],"schema":"https://github.com/citation-style-language/schema/raw/master/csl-citation.json"}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Muhamad Afrizal Sholichuddin et al., “The Relationship of Islam and The State in Contemporary Islamic Political Discourse in Indonesia,” </w:t>
      </w:r>
      <w:r w:rsidRPr="006A6C13">
        <w:rPr>
          <w:rFonts w:ascii="Garamond" w:hAnsi="Garamond" w:cstheme="majorBidi"/>
          <w:i/>
          <w:iCs/>
          <w:kern w:val="0"/>
          <w:sz w:val="20"/>
          <w:szCs w:val="20"/>
        </w:rPr>
        <w:t>Dirasah International Journal of Islamic Studies</w:t>
      </w:r>
      <w:r w:rsidRPr="006A6C13">
        <w:rPr>
          <w:rFonts w:ascii="Garamond" w:hAnsi="Garamond" w:cstheme="majorBidi"/>
          <w:kern w:val="0"/>
          <w:sz w:val="20"/>
          <w:szCs w:val="20"/>
        </w:rPr>
        <w:t xml:space="preserve"> 1, no. 2 (2023): 2, https://doi.org/10.59373/drs.v1i2.11.</w:t>
      </w:r>
      <w:r w:rsidRPr="006A6C13">
        <w:rPr>
          <w:rFonts w:ascii="Garamond" w:hAnsi="Garamond" w:cstheme="majorBidi"/>
          <w:sz w:val="20"/>
          <w:szCs w:val="20"/>
        </w:rPr>
        <w:fldChar w:fldCharType="end"/>
      </w:r>
    </w:p>
  </w:footnote>
  <w:footnote w:id="19">
    <w:p w14:paraId="564B8E79"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{"citationID":"07vi0mAO","properties":{"formattedCitation":"Elan Sumarna, \\uc0\\u8220{}Syariah Islam Dalam Konteks Perguliran Sosial, Politik Dan Budaya,\\uc0\\u8221{} {\\i{}Sosio Religi: Jurnal Kajian Pendidikan Umum} 14, no. 2 (2023): 2, https://doi.org/10.17509/sosioreligi.v14i2.5611.","plainCitation":"Elan Sumarna, “Syariah Islam Dalam Konteks Perguliran Sosial, Politik Dan Budaya,” Sosio Religi: Jurnal Kajian Pendidikan Umum 14, no. 2 (2023): 2, https://doi.org/10.17509/sosioreligi.v14i2.5611.","noteIndex":19},"citationItems":[{"id":73,"uris":["http://zotero.org/users/17696806/items/LVM8HPI9"],"itemData":{"id":73,"type":"article-journal","abstract":"Islamic jurisprudence from Al-quran and Al-Hadith which became the only legal nomenclature trial on human life. However, the legislation would still be able to trial on all the problems that would come at any time. In the writing of this paper, the authors use a qualitative approach to the method of study of the literature. Data analysis was done with the analysis of the qualitative data analysis method and content. The results of this study described the process of unification of muslim diversity has always been a paradigm of race and culture. It is crucial even though problems of unification were formed, but political stability will remain difficult to achieve. On the other hand, Muslims are generally always fall on a religious symbols that eventually political conflict difficult halted. In addition, the position of Islamic jurisprudence in muslim countries generally do not appear in the form of blatantly political institution, but rather teralokatif in their culture along with just their understanding of Islam itself.","container-title":"Sosio Religi: Jurnal Kajian Pendidikan Umum","DOI":"https://doi.org/10.17509/sosioreligi.v14i2.5611","ISSN":"2656-3622","issue":"2","language":"en","license":"Copyright (c) 2017 http://ejournal.upi.edu/index.php/SosioReligi","note":"number: 2","source":"ejournal.upi.edu","title":"Syariah Islam dalam Konteks Perguliran Sosial, Politik dan Budaya","URL":"https://ejournal.upi.edu/index.php/SosioReligi/article/view/5611","volume":"14","author":[{"family":"Sumarna","given":"Elan"}],"accessed":{"date-parts":[["2025",8,5]]},"issued":{"date-parts":[["2023"]]}}}],"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Elan Sumarna, “Islamic Sharia in the Context of Social, Political, and Cultural Change,” </w:t>
      </w:r>
      <w:r w:rsidRPr="006A6C13">
        <w:rPr>
          <w:rFonts w:ascii="Garamond" w:hAnsi="Garamond" w:cstheme="majorBidi"/>
          <w:i/>
          <w:iCs/>
          <w:kern w:val="0"/>
          <w:sz w:val="20"/>
          <w:szCs w:val="20"/>
        </w:rPr>
        <w:t>Sosio Religi: Journal of General Education Studies</w:t>
      </w:r>
      <w:r w:rsidRPr="006A6C13">
        <w:rPr>
          <w:rFonts w:ascii="Garamond" w:hAnsi="Garamond" w:cstheme="majorBidi"/>
          <w:kern w:val="0"/>
          <w:sz w:val="20"/>
          <w:szCs w:val="20"/>
        </w:rPr>
        <w:t xml:space="preserve"> 14, no. 2 (2023): 2, https://doi.org/10.17509/sosioreligi.v14i2.5611.</w:t>
      </w:r>
      <w:r w:rsidRPr="006A6C13">
        <w:rPr>
          <w:rFonts w:ascii="Garamond" w:hAnsi="Garamond" w:cstheme="majorBidi"/>
          <w:sz w:val="20"/>
          <w:szCs w:val="20"/>
        </w:rPr>
        <w:fldChar w:fldCharType="end"/>
      </w:r>
    </w:p>
  </w:footnote>
  <w:footnote w:id="20">
    <w:p w14:paraId="2BA5AAF9"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{"citationID":"UOAYYxNT","properties":{"formattedCitation":"Kamsi Kamsi, \\uc0\\u8220{}CITRA GERAKAN POLITIK ISLAM DALAM LINTASAN SEJARAH PERPOLITIKAN BANGSA INDONESIA (Studi Era Pra Kemerdekan Sampai Dengan Era Orde Baru),\\uc0\\u8221{} {\\i{}Millah: Journal of Religious Studies} 13, no. 1 (2021): 109\\uc0\\u8211{}54, https://doi.org/10.20885/millah.vol12.iss3.art6.","plainCitation":"Kamsi Kamsi, “CITRA GERAKAN POLITIK ISLAM DALAM LINTASAN SEJARAH PERPOLITIKAN BANGSA INDONESIA (Studi Era Pra Kemerdekan Sampai Dengan Era Orde Baru),” Millah: Journal of Religious Studies 13, no. 1 (2021): 109–54, https://doi.org/10.20885/millah.vol12.iss3.art6.","noteIndex":20},"citationItems":[{"id":44,"uris":["http://zotero.org/users/17696806/items/ERSM2GBT"],"itemData":{"id":44,"type":"article-journal","abstract":"In the pre-independence era and towards independence era of Indonesia, muslims become a political force that taken into account, it means muslims have an authority to make a decision that influence the future of Indonesia. The position of muslim was continoued until the birth of the Old Order. In the era of the Old Order or Democracy Guided, about relationship between muslims and the state at the time, the Muslims devided into two groups of politicalpatterns, first ijtihad,it is better for muslims to get into the system for the sake of Islam, while second ijtihadrecommended that muslims must fight the systemfor the sake of Islam. In the era of the New Order, the relationship between muslim and state was very unique, which was cordial in beginning, conflicting for long time, and finally going into intimate at the end of the era.","container-title":"Millah: Journal of Religious Studies","DOI":"10.20885/millah.vol12.iss3.art6","ISSN":"2527-922X","issue":"1","journalAbbreviation":"Millah J. Rel. Stud.","language":"en","license":"Copyright (c) 2016 Millah: Jurnal Studi Agama","page":"109-154","source":"journal.uii.ac.id","title":"CITRA GERAKAN POLITIK ISLAM DALAM LINTASAN SEJARAH PERPOLITIKAN BANGSA INDONESIA (Studi Era Pra Kemerdekan sampai dengan Era Orde Baru)","volume":"13","author":[{"family":"Kamsi","given":"Kamsi"}],"issued":{"date-parts":[["2021",8,31]]}}}],"schema":"https://github.com/citation-style-language/schema/raw/master/csl-citation.json"}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Kamsi Kamsi, “THE IMAGE OF ISLAMIC POLITICAL MOVEMENTS IN THE HISTORY OF INDONESIAN POLITICS (A Study of the Pre-Independence Era to the New Order Era),” </w:t>
      </w:r>
      <w:r w:rsidRPr="006A6C13">
        <w:rPr>
          <w:rFonts w:ascii="Garamond" w:hAnsi="Garamond" w:cstheme="majorBidi"/>
          <w:i/>
          <w:iCs/>
          <w:kern w:val="0"/>
          <w:sz w:val="20"/>
          <w:szCs w:val="20"/>
        </w:rPr>
        <w:t>Millah: Journal of Religious Studies</w:t>
      </w:r>
      <w:r w:rsidRPr="006A6C13">
        <w:rPr>
          <w:rFonts w:ascii="Garamond" w:hAnsi="Garamond" w:cstheme="majorBidi"/>
          <w:kern w:val="0"/>
          <w:sz w:val="20"/>
          <w:szCs w:val="20"/>
        </w:rPr>
        <w:t xml:space="preserve"> 13, no. 1 (2021): 109–54, https://doi.org/10.20885/millah.vol12.iss3.art6.</w:t>
      </w:r>
      <w:r w:rsidRPr="006A6C13">
        <w:rPr>
          <w:rFonts w:ascii="Garamond" w:hAnsi="Garamond" w:cstheme="majorBidi"/>
          <w:sz w:val="20"/>
          <w:szCs w:val="20"/>
        </w:rPr>
        <w:fldChar w:fldCharType="end"/>
      </w:r>
    </w:p>
  </w:footnote>
  <w:footnote w:id="21">
    <w:p w14:paraId="0D9CE555"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{"citationID":"E4dXE3ip","properties":{"formattedCitation":"Dzikrul Hakim Tafuzi Mu\\uc0\\u8217{}iz et al., \\uc0\\u8220{}Relation of Religious, Politics, and State in Indonesia: A Comparative Study Soekarno and Abdurrahman Wahid,\\uc0\\u8221{} {\\i{}Abdurrauf Journal of Islamic Studies} 3, no. 3 (2024): 3, https://doi.org/10.58824/arjis.v3i3.174.","plainCitation":"Dzikrul Hakim Tafuzi Mu’iz et al., “Relation of Religious, Politics, and State in Indonesia: A Comparative Study Soekarno and Abdurrahman Wahid,” Abdurrauf Journal of Islamic Studies 3, no. 3 (2024): 3, https://doi.org/10.58824/arjis.v3i3.174.","noteIndex":21},"citationItems":[{"id":46,"uris":["http://zotero.org/users/17696806/items/Y3TC9WAW"],"itemData":{"id":46,"type":"article-journal","abstract":"This study aims to compare Soekarno's and Abdurrahman Wahid's (Gus Dur) thoughts regarding the form of state that is relevant in Indonesia. This concerns the relationship between religion, politics, and the state in the context of Indonesia, which is still a polemic that has not found a meeting point in various discussions, so the issue has always been a current discourse because it always experiences fluctuating discourse in the political arena in Indonesia. Soekarno and Abdurrahman Wahid (Gus Dur) are two figures who have significantly contributed to the Indonesian nation; apart from the fact that they have served as presidents, their ideas also quite color the dynamics of thinking about how to state in Indonesia. This paper examines Soekarno and Gus Dur's views on the relationship between religion and the state and then compares the two. This type of research is normative research using a conceptual approach to obtain a comprehensive framework of Soekarno and Gus Dur's thoughts. The conclusion of this research found three forms of relationship between religion and the state, namely integralistic, secularistic, and symbiotic. Soekarno, with his nationalism, emphasized the separation between religion and the state so that it tended to be a secularistic relationship. Meanwhile, Gus Dur, with his contextualist paradigm, prefers to implement Islam as a social ethic, necessitating a symbiotic relationship or mutual benefit and mutual need between religion and the state.\n[Studi ini bertujuan mengkomparasikan pemikiran Soekarno dan Abdurrahman Wahid (Gus Dur) terkait bentuk negara yang relevan di Indonesia. Hal tersebut mencakup relasi antara agama, politik, dan negara dalam konteks Indonesia yang masih menjadi suatu polemik yang belum menemukan titik temu dalam berbagai perbincangan sehingga topik tersebut selalu menjadi diskursus aktual karena senantiasa mengalami fluctuative discourse dalam percaturan politik di Indonesia. Soekarno dan Abdurrahman Wahid (Gus Dur) merupakan dua tokoh yang berjasa besar bagi bangsa Indonesia selain karena mereka pernah menjabat sebagai presiden, gagasan-gagasan mereka juga cukup mewarnai dinamika pemikiran cara bernegara di Indonesia. Tulisan ini mengkaji pandangan Soekarno dan Gus Dur tentang relasi antara agama dan negara kemudian mengkomparasikan keduanya. Jenis penelitian ini merupakan penelitian normatif dengan menggunakan conceptual approach untuk mendapatkan kerangka pemikiran Soekarno dan Gus Dur secara komprehensif. Kesimpulan penelitian ini menemukan tiga bentuk hubungan antara agama dan negara, yaitu: integralistik, sekularistik, dan simbiotik. Soekarno dengan nasionalismenya lebih menekankan pemisahan antara agama dan negara sehingga lebih cenderung pada hubungan sekuralistik. Sedangkan Gus Dur dengan paradigma kontekstualisnya lebih memilih untuk mengimplementasikan Islam sebagai etika sosial, meniscayakan adanya hubungan simbiotik atau saling menguntungkan, dan saling membutuhkan antara agama dan negara].","container-title":"Abdurrauf Journal of Islamic Studies","DOI":"10.58824/arjis.v3i3.174","ISSN":"2828-3597","issue":"3","language":"en","license":"Copyright (c) 2024 Dzikrul Hakim Tafuzi Mu'iz, Nasrulloh Nasrulloh, Pepy  Marwinata, Mursyidatul  Mahsunah","note":"number: 3","page":"197-214","source":"journal.staisar.ac.id","title":"Relation of Religious, Politics, and State in Indonesia: A Comparative Study Soekarno and Abdurrahman Wahid","title-short":"Relation of Religious, Politics, and State in Indonesia","volume":"3","author":[{"family":"Mu'iz","given":"Dzikrul Hakim Tafuzi"},{"family":"Nasrulloh","given":"Nasrulloh"},{"family":"Marwinata","given":"Pepy"},{"family":"Mahsunah","given":"Mursyidatul"}],"issued":{"date-parts":[["2024",10,17]]}}}],"schema":"https://github.com/citation-style-language/schema/raw/master/csl-citation.json"}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Dzikrul Hakim Tafuzi Mu’iz et al., “Relation of Religious, Politics, and State in Indonesia: A Comparative Study Soekarno and Abdurrahman Wahid,” </w:t>
      </w:r>
      <w:r w:rsidRPr="006A6C13">
        <w:rPr>
          <w:rFonts w:ascii="Garamond" w:hAnsi="Garamond" w:cstheme="majorBidi"/>
          <w:i/>
          <w:iCs/>
          <w:kern w:val="0"/>
          <w:sz w:val="20"/>
          <w:szCs w:val="20"/>
        </w:rPr>
        <w:t>Abdurrauf Journal of Islamic Studies</w:t>
      </w:r>
      <w:r w:rsidRPr="006A6C13">
        <w:rPr>
          <w:rFonts w:ascii="Garamond" w:hAnsi="Garamond" w:cstheme="majorBidi"/>
          <w:kern w:val="0"/>
          <w:sz w:val="20"/>
          <w:szCs w:val="20"/>
        </w:rPr>
        <w:t xml:space="preserve"> 3, no. 3 (2024): 3, https://doi.org/10.58824/arjis.v3i3.174.</w:t>
      </w:r>
      <w:r w:rsidRPr="006A6C13">
        <w:rPr>
          <w:rFonts w:ascii="Garamond" w:hAnsi="Garamond" w:cstheme="majorBidi"/>
          <w:sz w:val="20"/>
          <w:szCs w:val="20"/>
        </w:rPr>
        <w:fldChar w:fldCharType="end"/>
      </w:r>
    </w:p>
  </w:footnote>
  <w:footnote w:id="22">
    <w:p w14:paraId="57169D4F"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{"citationID":"nY4Ov96E","properties":{"formattedCitation":"M. Atho Mudzhar, \\uc0\\u8220{}Kajian Ilmu-Ilmu Syari\\uc0\\u8217{}ah Di Perguruan Tinggi\\uc0\\u8239{}: Sudahkah Merespon Tuntutan Masyarakat?,\\uc0\\u8221{} {\\i{}Asy-Syir\\uc0\\u8217{}ah: Jurnal Ilmu Syari\\uc0\\u8217{}ah Dan Hukum} 46, no. 2 (2012): 2, https://doi.org/10.14421/ajish.v46i2.43.","plainCitation":"M. Atho Mudzhar, “Kajian Ilmu-Ilmu Syari’ah Di Perguruan Tinggi</w:instrText>
      </w:r>
      <w:r w:rsidRPr="006A6C13">
        <w:rPr>
          <w:rFonts w:ascii="Times New Roman"/>
          <w:sz w:val="20"/>
          <w:szCs w:val="20"/>
        </w:rPr>
        <w:instrText> </w:instrText>
      </w:r>
      <w:r w:rsidRPr="006A6C13">
        <w:rPr>
          <w:rFonts w:ascii="Garamond" w:hAnsi="Garamond" w:cstheme="majorBidi"/>
          <w:sz w:val="20"/>
          <w:szCs w:val="20"/>
        </w:rPr>
        <w:instrText xml:space="preserve">: Sudahkah Merespon Tuntutan Masyarakat?,” Asy-Syir’ah: Jurnal Ilmu Syari’ah Dan Hukum 46, no. 2 (2012): 2, https://doi.org/10.14421/ajish.v46i2.43.","noteIndex":22},"citationItems":[{"id":75,"uris":["http://zotero.org/users/17696806/items/BMC926NN"],"itemData":{"id":75,"type":"article-journal","abstract":"This article is aimed at examining how the study of Shari'ah sciences in  the higher  learning  institutions  in Indonesia  has  been  conceptually  developed  over  time,  and assessing whether or not such a development has responded to meet the dynamic demand of modern Muslim communities in the world. To achieve the objective, the article started with the examination  of  the  epistemological  concepts  that  have  been used so far to maintain certain departments of studies or create new  ones  by  employing  a  three-layer  concept  of  Islamic  law studies (philosophical, normative, and empirical). Further, the article  undertook  a  comparative  analysis  of  how  the  study  of the  Shari'ah  sciences  had  been  developed  in  three  most relevant  countries  to  Indonesia,  namely  Egypt,  Saudi  Arabia, and  Malaysia,  where  the  creation  of  new  departments  in  the Faculty  of  Shari'ah  had  been  responsive  to  their  respective local demands. The article concluded that the study of Shariah sciences  in  Indonesia  had  been characterized  by  the  lack  of attention to studies of Usul al-Fiqh as indicated by the absence of  the department of  Usul al-Fiqh at either undergraduate or graduate  studies,  and  the  lack  of  advanture  to  integrate  the study of Shari'ah sciences proper with such modern demands  -apart from Islamic economics  - as in the field of human rights, taxation, industrial law, land reform, etc","container-title":"Asy-Syir'ah: Jurnal Ilmu Syari'ah dan Hukum","DOI":"10.14421/ajish.v46i2.43","ISSN":"2443-0757","issue":"2","language":"en","license":"Copyright (c) 2015 Asy-Syir'ah: Jurnal Ilmu Syari'ah dan Hukum","note":"number: 2","source":"asy-syirah.uin-suka.com","title":"Kajian Ilmu-Ilmu Syari'ah Di Perguruan Tinggi : Sudahkah Merespon Tuntutan Masyarakat?","title-short":"Kajian Ilmu-Ilmu Syari'ah Di Perguruan Tinggi","URL":"https://asy-syirah.uin-suka.com/index.php/AS/article/view/43","volume":"46","author":[{"family":"Mudzhar","given":"M. Atho"}],"accessed":{"date-parts":[["2025",8,5]]},"issued":{"date-parts":[["2012",7,1]]}}}],"schema":"https://github.com/citation-style-language/schema/raw/master/csl-citation.json"}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M. Atho Mudzhar, “The Study of Sharia Sciences in Higher Education: Has it Responded to the Demands of Society?,” </w:t>
      </w:r>
      <w:r w:rsidRPr="006A6C13">
        <w:rPr>
          <w:rFonts w:ascii="Garamond" w:hAnsi="Garamond" w:cstheme="majorBidi"/>
          <w:i/>
          <w:iCs/>
          <w:kern w:val="0"/>
          <w:sz w:val="20"/>
          <w:szCs w:val="20"/>
        </w:rPr>
        <w:t>Asy-Syir’ah: Journal of Sharia and Law</w:t>
      </w:r>
      <w:r w:rsidRPr="006A6C13">
        <w:rPr>
          <w:rFonts w:ascii="Garamond" w:hAnsi="Garamond" w:cstheme="majorBidi"/>
          <w:kern w:val="0"/>
          <w:sz w:val="20"/>
          <w:szCs w:val="20"/>
        </w:rPr>
        <w:t xml:space="preserve"> 46, no. 2 (2012): 2, https://doi.org/10.14421/ajish.v46i2.43.</w:t>
      </w:r>
      <w:r w:rsidRPr="006A6C13">
        <w:rPr>
          <w:rFonts w:ascii="Garamond" w:hAnsi="Garamond" w:cstheme="majorBidi"/>
          <w:sz w:val="20"/>
          <w:szCs w:val="20"/>
        </w:rPr>
        <w:fldChar w:fldCharType="end"/>
      </w:r>
    </w:p>
  </w:footnote>
  <w:footnote w:id="23">
    <w:p w14:paraId="199DB8B7"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{"citationID":"qWDP2ihX","properties":{"formattedCitation":"Muhammad Farhan Fikri et al., \\uc0\\u8220{}Pemikiran Politik Islam M. Quraish Shihab Di Indonesia: Sebuah Analisis,\\uc0\\u8221{} {\\i{}Islam &amp; Contemporary Issues} 4, no. 1 (2024): 1, https://doi.org/10.57251/ici.v4i1.1289.","plainCitation":"Muhammad Farhan Fikri et al., “Pemikiran Politik Islam M. Quraish Shihab Di Indonesia: Sebuah Analisis,” Islam &amp; Contemporary Issues 4, no. 1 (2024): 1, https://doi.org/10.57251/ici.v4i1.1289.","noteIndex":23},"citationItems":[{"id":48,"uris":["http://zotero.org/users/17696806/items/HTCIPIXJ"],"itemData":{"id":48,"type":"article-journal","abstract":"The Islamic political thought of M. Quraish Shihab in Indonesia has become an interesting subject of analysis in contemporary political studies. In the pluralistic context of Indonesia, Islamic political thought is important as it involves the dynamics of a heterogeneous society. In this research, a thorough analysis of the Islamic political thought of M. Quraish Shihab is conducted. Through a qualitative approach, data is obtained from interviews, literature, and related documents. The analysis results indicate that Shihab emphasizes the importance of understanding and applying Islamic values wisely in political life, in line with the spirit of tolerance and pluralism that are characteristic of the Indonesian nation. Shihab also highlights the rejection of radicalism and extremism, as well as the importance of maintaining a balance between religion and state in Islamic politics in Indonesia. Shihab's Islamic political thought offers a balanced and progressive view, emphasizing harmony between religion, politics, and national life. This study makes an important contribution to understanding the dynamics of Indonesian politics and society, as well as the role of Islamic politics in a pluralistic context.","container-title":"Islam &amp; Contemporary Issues","DOI":"10.57251/ici.v4i1.1289","ISSN":"2798-3307","issue":"1","language":"en","license":"Copyright (c) 2024 Muhammad Farhan Fikri, Zurkarnen Zurkarnen, Nurliana` Damanik","note":"number: 1","page":"1-7","source":"jurnal.medanresourcecenter.org","title":"Pemikiran Politik Islam M. Quraish Shihab di Indonesia: Sebuah Analisis","title-short":"Pemikiran Politik Islam M. Quraish Shihab di Indonesia","volume":"4","author":[{"family":"Fikri","given":"Muhammad Farhan"},{"family":"Zurkarnen","given":"Zurkarnen"},{"family":"Damanik","given":"Nurliana`"}],"issued":{"date-parts":[["2024",4,10]]}}}],"schema":"https://github.com/citation-style-language/schema/raw/master/csl-citation.json"}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Muhammad Farhan Fikri et al., “M. Quraish Shihab’s Islamic Political Thought in Indonesia: An Analysis,” </w:t>
      </w:r>
      <w:r w:rsidRPr="006A6C13">
        <w:rPr>
          <w:rFonts w:ascii="Garamond" w:hAnsi="Garamond" w:cstheme="majorBidi"/>
          <w:i/>
          <w:iCs/>
          <w:kern w:val="0"/>
          <w:sz w:val="20"/>
          <w:szCs w:val="20"/>
        </w:rPr>
        <w:t>Islam &amp;amp; Contemporary Issues</w:t>
      </w:r>
      <w:r w:rsidRPr="006A6C13">
        <w:rPr>
          <w:rFonts w:ascii="Garamond" w:hAnsi="Garamond" w:cstheme="majorBidi"/>
          <w:kern w:val="0"/>
          <w:sz w:val="20"/>
          <w:szCs w:val="20"/>
        </w:rPr>
        <w:t xml:space="preserve"> 4, no. 1 (2024): 1, https://doi.org/10.57251/ici.v4i1.1289.</w:t>
      </w:r>
      <w:r w:rsidRPr="006A6C13">
        <w:rPr>
          <w:rFonts w:ascii="Garamond" w:hAnsi="Garamond" w:cstheme="majorBidi"/>
          <w:sz w:val="20"/>
          <w:szCs w:val="20"/>
        </w:rPr>
        <w:fldChar w:fldCharType="end"/>
      </w:r>
    </w:p>
  </w:footnote>
  <w:footnote w:id="24">
    <w:p w14:paraId="52C4163A"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{"citationID":"2bljSA4j","properties":{"formattedCitation":"Ahmad Ali Nurdin, \\uc0\\u8220{}Revisiting Discourse on Islam and State Relation in Indonesia: The View of Soekarno, Natsir and Nurcholish Madjid,\\uc0\\u8221{} {\\i{}Indonesian Journal of Islam and Muslim Societies} 6, no. 1 (2023): 1, https://doi.org/10.18326/ijims.v6i1.63-92.","plainCitation":"Ahmad Ali Nurdin, “Revisiting Discourse on Islam and State Relation in Indonesia: The View of Soekarno, Natsir and Nurcholish Madjid,” Indonesian Journal of Islam and Muslim Societies 6, no. 1 (2023): 1, https://doi.org/10.18326/ijims.v6i1.63-92.","noteIndex":24},"citationItems":[{"id":50,"uris":["http://zotero.org/users/17696806/items/DY3EL64L"],"itemData":{"id":50,"type":"article-journal","abstract":"This paper focuses on debates between Soekarno, Natsir and Nurcholish Madjid to whether Indonesian state should be based on Islam ideologically or not. Soekarno, was in favor of the separation between Islam and state and against the idea of a formal-legal relationship between them. In Soekarno’s belief, by separating religion from the state, it does not mean that Islamic teachings are automatically marginalized. Natsir argued against Soekarno’s idea that Islam should be separated from the state. Natsir believed that Islam is a way of life in which it not only guides Muslim peoples on ritual matter but also on worldly matters including how to manage a state. Madjid seems to propose the middle path between Soekarno and Natsir in his struggle to ‘Islamize’ Indonesia. On the one hand, Madjid opposes the idea of making Indonesia an Islamic state, and on the other hand, Madjid also refuses that Indonesian become totally a secular state. Madjid tried to develop a new format for political Islam in which substance, rather than form, serves as his primary orientations. Kajian ini berfokus pada perdebatan antara Soekarno, Natsir dan Nurcholish Madjid tentang apakah negara Indonesia harus didasarkan pada Islam ideologis atau tidak. Soekarno adalah pendukung pemisahan antara Islam dan negara dan menentang gagasan hubungan formal-legal antara keduanya. Dalam keyakinan Soekarno, dengan memisahkan agama dari negara, itu tidak berarti bahwa ajaran Islam secara otomatis terpinggirkan. Natsir menentang gagasan Soekarno bahwa Islam harus dipisahkan dari negara. Natsir percaya bahwa Islam adalah cara hidup yang tidak hanya membimbing masyarakat Muslim tentang masalah ritual tetapi juga pada hal-hal duniawi termasuk bagaimana mengelola negara. Madjid tampaknya mengusulkan jalan tengah antara Soekarno dan Natsir dalam perjuangan untuk ‘mengislamkan’ Indonesia. Di satu sisi, Madjid menentang ide menciptakan Indonesia sebagai negara Islam, dan di sisi lain, Madjid juga menolak bahwa Indonesia menjadi benar-benar sebuah negara sekuler. Madjid mencoba untuk mengembangkan format baru bagi Islam politik di mana substansi, bukan bentuk, berfungsi sebagai orientasi utamanya.","container-title":"Indonesian Journal of Islam and Muslim Societies","DOI":"10.18326/ijims.v6i1.63-92","ISSN":"2406-825X","issue":"1","language":"en-US","license":"Copyright (c) 2016 Ahmad Ali Nurdin","note":"number: 1","page":"63-92","source":"ijims.iainsalatiga.ac.id","title":"Revisiting discourse on Islam and state relation in Indonesia: the view of Soekarno, Natsir and Nurcholish Madjid","title-short":"Revisiting discourse on Islam and state relation in Indonesia","volume":"6","author":[{"family":"Nurdin","given":"Ahmad Ali"}],"issued":{"date-parts":[["2023",6,1]]}}}],"schema":"https://github.com/citation-style-language/schema/raw/master/csl-citation.json"}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Ahmad Ali Nurdin, “Revisiting Discourse on Islam and State Relation in Indonesia: The View of Soekarno, Natsir and Nurcholish Madjid,” </w:t>
      </w:r>
      <w:r w:rsidRPr="006A6C13">
        <w:rPr>
          <w:rFonts w:ascii="Garamond" w:hAnsi="Garamond" w:cstheme="majorBidi"/>
          <w:i/>
          <w:iCs/>
          <w:kern w:val="0"/>
          <w:sz w:val="20"/>
          <w:szCs w:val="20"/>
        </w:rPr>
        <w:t>Indonesian Journal of Islam and Muslim Societies</w:t>
      </w:r>
      <w:r w:rsidRPr="006A6C13">
        <w:rPr>
          <w:rFonts w:ascii="Garamond" w:hAnsi="Garamond" w:cstheme="majorBidi"/>
          <w:kern w:val="0"/>
          <w:sz w:val="20"/>
          <w:szCs w:val="20"/>
        </w:rPr>
        <w:t xml:space="preserve"> 6, no. 1 (2023): 1, https://doi.org/10.18326/ijims.v6i1.63-92.</w:t>
      </w:r>
      <w:r w:rsidRPr="006A6C13">
        <w:rPr>
          <w:rFonts w:ascii="Garamond" w:hAnsi="Garamond" w:cstheme="majorBidi"/>
          <w:sz w:val="20"/>
          <w:szCs w:val="20"/>
        </w:rPr>
        <w:fldChar w:fldCharType="end"/>
      </w:r>
    </w:p>
  </w:footnote>
  <w:footnote w:id="25">
    <w:p w14:paraId="47958F6E"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{"citationID":"H8mfv8DR","properties":{"formattedCitation":"Hosaini and Muhammad Ihyaul Fikro, \\uc0\\u8220{}Negara Indonesia Persfektif Islam: Sebagai Bentuk Penguatan Wawasan Kebangsaan,\\uc0\\u8221{} {\\i{}Moderasi\\uc0\\u8239{}: Journal of Islamic Studies} 1, no. 2 (2021): 2, https://doi.org/10.54471/moderasi.v1i2.12.","plainCitation":"Hosaini and Muhammad Ihyaul Fikro, “Negara Indonesia Persfektif Islam: Sebagai Bentuk Penguatan Wawasan Kebangsaan,” Moderasi</w:instrText>
      </w:r>
      <w:r w:rsidRPr="006A6C13">
        <w:rPr>
          <w:rFonts w:ascii="Times New Roman"/>
          <w:sz w:val="20"/>
          <w:szCs w:val="20"/>
        </w:rPr>
        <w:instrText> </w:instrText>
      </w:r>
      <w:r w:rsidRPr="006A6C13">
        <w:rPr>
          <w:rFonts w:ascii="Garamond" w:hAnsi="Garamond" w:cstheme="majorBidi"/>
          <w:sz w:val="20"/>
          <w:szCs w:val="20"/>
        </w:rPr>
        <w:instrText xml:space="preserve">: Journal of Islamic Studies 1, no. 2 (2021): 2, https://doi.org/10.54471/moderasi.v1i2.12.","noteIndex":25},"citationItems":[{"id":"JFDIPHSk/85yhPe2m","uris":["http://zotero.org/users/17696806/items/32WE5T6I"],"itemData":{"id":52,"type":"article-journal","abstract":"The ‘Orde Baru’ fell from power, the idea of </w:instrText>
      </w:r>
      <w:r w:rsidRPr="006A6C13">
        <w:rPr>
          <w:rFonts w:ascii="Times New Roman"/>
          <w:sz w:val="20"/>
          <w:szCs w:val="20"/>
        </w:rPr>
        <w:instrText>​​</w:instrText>
      </w:r>
      <w:r w:rsidRPr="006A6C13">
        <w:rPr>
          <w:rFonts w:ascii="Garamond" w:hAnsi="Garamond" w:cstheme="majorBidi"/>
          <w:sz w:val="20"/>
          <w:szCs w:val="20"/>
        </w:rPr>
        <w:instrText xml:space="preserve">establishing an \"Islamic state\" reappeared. This makes a lot of disturbing many circles of society, including the Muslim population. This research is a literature review. The role of pesantren and Muslims is quite large in building the spirit of nationalism in seizing independence and Nahdlatul Ulama (NU) as the largest socio-religious organization in Indonesia led by traditional pesantren kiai - has offered a brilliant theological solution through political fiqh in the relationship between Islam and Pancasila.","container-title":"Moderasi : Journal of Islamic Studies","DOI":"10.54471/moderasi.v1i2.12","ISSN":"2809-2872","issue":"2","language":"en","license":"Copyright (c) 2021 Moderasi : Journal of Islamic Studies","note":"number: 2","page":"165-181","source":"ejournal.nuprobolinggo.or.id","title":"Negara Indonesia Persfektif Islam: Sebagai Bentuk Penguatan Wawasan Kebangsaan","title-short":"Negara Indonesia Persfektif Islam","volume":"1","author":[{"family":"Hosaini","given":""},{"family":"Fikro","given":"Muhammad Ihyaul"}],"issued":{"date-parts":[["2021",12,12]]}}}],"schema":"https://github.com/citation-style-language/schema/raw/master/csl-citation.json"}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Hosaini and Muhammad Ihyaul Fikro, “The Indonesian State from an Islamic Perspective: As a Form of Strengthening Nationalism,” </w:t>
      </w:r>
      <w:r w:rsidRPr="006A6C13">
        <w:rPr>
          <w:rFonts w:ascii="Garamond" w:hAnsi="Garamond" w:cstheme="majorBidi"/>
          <w:i/>
          <w:iCs/>
          <w:kern w:val="0"/>
          <w:sz w:val="20"/>
          <w:szCs w:val="20"/>
        </w:rPr>
        <w:t>Moderasi: Journal of Islamic Studies</w:t>
      </w:r>
      <w:r w:rsidRPr="006A6C13">
        <w:rPr>
          <w:rFonts w:ascii="Garamond" w:hAnsi="Garamond" w:cstheme="majorBidi"/>
          <w:kern w:val="0"/>
          <w:sz w:val="20"/>
          <w:szCs w:val="20"/>
        </w:rPr>
        <w:t xml:space="preserve"> 1, no. 2 (2021): 2, https://doi.org/10.54471/moderasi.v1i2.12.</w:t>
      </w:r>
      <w:r w:rsidRPr="006A6C13">
        <w:rPr>
          <w:rFonts w:ascii="Garamond" w:hAnsi="Garamond" w:cstheme="majorBidi"/>
          <w:sz w:val="20"/>
          <w:szCs w:val="20"/>
        </w:rPr>
        <w:fldChar w:fldCharType="end"/>
      </w:r>
    </w:p>
  </w:footnote>
  <w:footnote w:id="26">
    <w:p w14:paraId="4FAC3910"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{"citationID":"xQMZj0aU","properties":{"formattedCitation":"Ipandang Ipandang, \\uc0\\u8220{}UNDERSTANDING THE MEANING OF GOD\\uc0\\u8217{}S LEGISLATION: Critical Analysis of Islamic Law Reasoning Criticism in Indonesia,\\uc0\\u8221{} {\\i{}Jurisdictie: Jurnal Hukum Dan Syariah} 11, no. 2 (2020): 2, https://doi.org/10.18860/j.v11i2.9913.","plainCitation":"Ipandang Ipandang, “UNDERSTANDING THE MEANING OF GOD’S LEGISLATION: Critical Analysis of Islamic Law Reasoning Criticism in Indonesia,” Jurisdictie: Jurnal Hukum Dan Syariah 11, no. 2 (2020): 2, https://doi.org/10.18860/j.v11i2.9913.","noteIndex":26},"citationItems":[{"id":21,"uris":["http://zotero.org/users/local/yKBDuK4m/items/Q4XZ8J8T","http://zotero.org/users/17696806/items/Q4XZ8J8T"],"itemData":{"id":21,"type":"article-journal","abstract":"The existence of Islamic law in dealing with social problems is questioned. The authoritative claim on the establishment of Islamic law by certain ulama organization is presumed to weaken the role of Islamic law in society. This article aims to analyze the legal reasoning structure and interpretation model of mufti (the one issuing fatwa) in establishing Islamic law. This article is based on the doctrinal legal research with conceptual approach, particularly on the thought of Khaled M. Abou El Fadl. By going through the analysis process of critical negotiation, there will be constructive dialectic to produce a humanistic Islamic law. This article found that the authority of textual meaning needs to be placed on top of the authority of mufti. The structured legal reasoning will silence the tafsir plurality on religious texts. The stagnation of this fatwa can be bridged via open Hermeneutics method which is dialectic among the author, text, reader, and the target discourse. So, fatwa can be the fundamental solution of the social problem which is humanistic.Eksistensi hukum Islam dalam menangani masalah sosial kemasyarakatan mulai diragukan. Klaim otoritas penetapan hukum Islam oleh organisasi ulama tertentu disinyalir menjadi sebab melemahnya peran hukum Islam dalam masyarakat. Artikel ini bertujuan menganalisis struktur nalar hukum dan model interpretasi pemberi fatwa dalam penetapan hukum Islam. artikel ini berasal dari penelitian hukum doctrinal dengan konseptual khususnya pemikiran Khaled M. Abou El Fadl. Karena melalui proses analisis negosiasi kritis, akan muncul dialektika yang konstruktif untuk menghasilkan hukum Islam yang humanis. Artikel ini menemukan bahwa otoritas makna teks perlu diposisikan di atas kewenangan pemberi fatwa. Penalaran hukum yang terlembaga akan mendorong pembungkaman pluralitas tafsir teks agama. Kebekuan hasil fatwa ini dapat dijembatani melalui metode hermeneutika terbuka yang bersifat dialektis, antara pengarang, teks, pembaca, dan sasaran wacana. Sehingga fatwa dapat menjadi sandaran penyelesaian problem sosial kemasyarakatan yang humanis.","container-title":"Jurisdictie: Jurnal Hukum dan Syariah","DOI":"10.18860/j.v11i2.9913","ISSN":"2528-3383","issue":"2","language":"en","license":"Copyright (c) 2021 JURISDICTIE","note":"number: 2","page":"182-201","source":"ejournal.uin-malang.ac.id","title":"UNDERSTANDING THE MEANING OF GOD’S LEGISLATION: Critical Analysis of Islamic Law Reasoning Criticism in Indonesia","title-short":"UNDERSTANDING THE MEANING OF GOD’S LEGISLATION","volume":"11","author":[{"family":"Ipandang","given":"Ipandang"}],"issued":{"date-parts":[["2020"]]}}}],"schema":"https://github.com/citation-style-language/schema/raw/master/csl-citation.json"}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Ipandang Ipandang, “UNDERSTANDING THE MEANING OF GOD’S LEGISLATION: Critical Analysis of Islamic Law Reasoning Criticism in Indonesia,” </w:t>
      </w:r>
      <w:r w:rsidRPr="006A6C13">
        <w:rPr>
          <w:rFonts w:ascii="Garamond" w:hAnsi="Garamond" w:cstheme="majorBidi"/>
          <w:i/>
          <w:iCs/>
          <w:kern w:val="0"/>
          <w:sz w:val="20"/>
          <w:szCs w:val="20"/>
        </w:rPr>
        <w:t>Jurisdictie: Journal of Law and Sharia</w:t>
      </w:r>
      <w:r w:rsidRPr="006A6C13">
        <w:rPr>
          <w:rFonts w:ascii="Garamond" w:hAnsi="Garamond" w:cstheme="majorBidi"/>
          <w:kern w:val="0"/>
          <w:sz w:val="20"/>
          <w:szCs w:val="20"/>
        </w:rPr>
        <w:t xml:space="preserve"> 11, no. 2 (2020): 2, https://doi.org/10.18860/j.v11i2.9913.</w:t>
      </w:r>
      <w:r w:rsidRPr="006A6C13">
        <w:rPr>
          <w:rFonts w:ascii="Garamond" w:hAnsi="Garamond" w:cstheme="majorBidi"/>
          <w:sz w:val="20"/>
          <w:szCs w:val="20"/>
        </w:rPr>
        <w:fldChar w:fldCharType="end"/>
      </w:r>
    </w:p>
  </w:footnote>
  <w:footnote w:id="27">
    <w:p w14:paraId="1D160D4E"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{"citationID":"1Zxh41ny","properties":{"formattedCitation":"Hasbi Aswar, \\uc0\\u8220{}Secular Perspective on The Islamic Political Discourses in Indonesia: A Critical Analysis,\\uc0\\u8221{} {\\i{}Jurnal Kajian Peradaban Islam} 4, no. 2 (2021): 35\\uc0\\u8211{}41, https://doi.org/10.47076/jkpis.v4i2.64.","plainCitation":"Hasbi Aswar, “Secular Perspective on The Islamic Political Discourses in Indonesia: A Critical Analysis,” Jurnal Kajian Peradaban Islam 4, no. 2 (2021): 35–41, https://doi.org/10.47076/jkpis.v4i2.64.","noteIndex":27},"citationItems":[{"id":55,"uris":["http://zotero.org/users/17696806/items/4B5G7A3K"],"itemData":{"id":55,"type":"article-journal","abstract":"This article aims to critically analyze the secularization perspective on political Islam, focusing on the Indonesian context. The secular perspective has its fundamental doctrine that democracy, separation of State and Religion, and nationalism should be the only system to manage one State. Many people always use kind of argument, even scholars, including in Indonesia, to reject the concept of the Islamic State. This article used descriptive analysis to elaborate the secularization perspective on political Islam in Indonesia and the critical analysis from the Islamic perspective.  Furthermore, it also explains the impact of using such a perspective in analyzing the discourse of Political Islam. This article found that the responses of the Muslim figures or people on political Islam in Indonesia are influenced by the secularization perspective instead of using the Islamic perspective. Islamic perspective on political Islam is derived from the Islamic methodology that authoritative scholars have formulated in the past. The secular perspective on politics, as a result, contributed to the decline of the Islamic civilization and colonization from the western power.","container-title":"Jurnal Kajian Peradaban Islam","DOI":"10.47076/jkpis.v4i2.64","ISSN":"2654-3974","issue":"2","journalAbbreviation":"JKPIs","language":"en","license":"http://creativecommons.org/licenses/by-sa/4.0","page":"35-41","source":"DOI.org (Crossref)","title":"Secular Perspective on The Islamic Political Discourses in Indonesia: A Critical Analysis","title-short":"Secular Perspective on The Islamic Political Discourses in Indonesia","volume":"4","author":[{"family":"Aswar","given":"Hasbi"}],"issued":{"date-parts":[["2021",6,24]]}}}],"schema":"https://github.com/citation-style-language/schema/raw/master/csl-citation.json"}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Hasbi Aswar, “Secular Perspective on The Islamic Political Discourses in Indonesia: A Critical Analysis,” </w:t>
      </w:r>
      <w:r w:rsidRPr="006A6C13">
        <w:rPr>
          <w:rFonts w:ascii="Garamond" w:hAnsi="Garamond" w:cstheme="majorBidi"/>
          <w:i/>
          <w:iCs/>
          <w:kern w:val="0"/>
          <w:sz w:val="20"/>
          <w:szCs w:val="20"/>
        </w:rPr>
        <w:t>Journal of Islamic Civilization Studies</w:t>
      </w:r>
      <w:r w:rsidRPr="006A6C13">
        <w:rPr>
          <w:rFonts w:ascii="Garamond" w:hAnsi="Garamond" w:cstheme="majorBidi"/>
          <w:kern w:val="0"/>
          <w:sz w:val="20"/>
          <w:szCs w:val="20"/>
        </w:rPr>
        <w:t xml:space="preserve"> 4, no. 2 (2021): 35–41, https://doi.org/10.47076/jkpis.v4i2.64.</w:t>
      </w:r>
      <w:r w:rsidRPr="006A6C13">
        <w:rPr>
          <w:rFonts w:ascii="Garamond" w:hAnsi="Garamond" w:cstheme="majorBidi"/>
          <w:sz w:val="20"/>
          <w:szCs w:val="20"/>
        </w:rPr>
        <w:fldChar w:fldCharType="end"/>
      </w:r>
    </w:p>
  </w:footnote>
  <w:footnote w:id="28">
    <w:p w14:paraId="720931CA"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{"citationID":"FlmCaTft","properties":{"formattedCitation":"Amrin Amrin et al., \\uc0\\u8220{}Reconstruction of Ali Yafie\\uc0\\u8217{}s Thinking in the Field of Social Fiqh in the Development of Islamic Law (Critical Review),\\uc0\\u8221{} {\\i{}AL-MANHAJ: Jurnal Hukum Dan Pranata Sosial Islam} 5, no. 1 (2023): 1, https://doi.org/10.37680/almanhaj.v5i1.2341.","plainCitation":"Amrin Amrin et al., “Reconstruction of Ali Yafie’s Thinking in the Field of Social Fiqh in the Development of Islamic Law (Critical Review),” AL-MANHAJ: Jurnal Hukum Dan Pranata Sosial Islam 5, no. 1 (2023): 1, https://doi.org/10.37680/almanhaj.v5i1.2341.","noteIndex":28},"citationItems":[{"id":77,"uris":["http://zotero.org/users/17696806/items/CM99FACT"],"itemData":{"id":77,"type":"article-journal","abstract":"This study aims to multiply Ali Yafie's thoughts on the development of Islamic law in Indonesia. This research uses qualitative research with a literature study approach. The data collection techniques use the library research, namely: trying to collect data from books or literature related to the researcher's discussion. The data analysis uses deductive analysis with interpretative. The results of the study show that Ali Yafie's thoughts in the field of social fiqh try to understand Islamic teachings, at least with several approaches, namely: Combining Text/nash with Reason, Blending Text with reality, and combining text with Maslahah makes fiqh more contextual and directs it more towards issues of a more social nature. in the dynamic development of Islamic law in Indonesia.","container-title":"AL-MANHAJ: Jurnal Hukum dan Pranata Sosial Islam","DOI":"10.37680/almanhaj.v5i1.2341","ISSN":"2686-4819","issue":"1","language":"en","license":"Copyright (c) 2023 Amrin Amrin, Suciyani Suciyani, Nurrahmaniah Nurrahmaniah","note":"number: 1","page":"187-200","source":"ejournal.insuriponorogo.ac.id","title":"Reconstruction of Ali Yafie's Thinking in the Field of Social Fiqh in the Development of Islamic Law (Critical Review)","volume":"5","author":[{"family":"Amrin","given":"Amrin"},{"family":"Suciyani","given":"Suciyani"},{"family":"Nurrahmaniah","given":"Nurrahmaniah"}],"issued":{"date-parts":[["2023",2,21]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Amrin Amrin et al., “Reconstruction of Ali Yafie’s Thinking in the Field of Social Fiqh in the Development of Islamic Law (Critical Review),” </w:t>
      </w:r>
      <w:r w:rsidRPr="006A6C13">
        <w:rPr>
          <w:rFonts w:ascii="Garamond" w:hAnsi="Garamond" w:cstheme="majorBidi"/>
          <w:i/>
          <w:iCs/>
          <w:kern w:val="0"/>
          <w:sz w:val="20"/>
          <w:szCs w:val="20"/>
        </w:rPr>
        <w:t>AL-MANHAJ: Journal of Islamic Law and Social Institutions</w:t>
      </w:r>
      <w:r w:rsidRPr="006A6C13">
        <w:rPr>
          <w:rFonts w:ascii="Garamond" w:hAnsi="Garamond" w:cstheme="majorBidi"/>
          <w:kern w:val="0"/>
          <w:sz w:val="20"/>
          <w:szCs w:val="20"/>
        </w:rPr>
        <w:t xml:space="preserve"> 5, no. 1 (2023): 1, https://doi.org/10.37680/almanhaj.v5i1.2341.</w:t>
      </w:r>
      <w:r w:rsidRPr="006A6C13">
        <w:rPr>
          <w:rFonts w:ascii="Garamond" w:hAnsi="Garamond" w:cstheme="majorBidi"/>
          <w:sz w:val="20"/>
          <w:szCs w:val="20"/>
        </w:rPr>
        <w:fldChar w:fldCharType="end"/>
      </w:r>
    </w:p>
  </w:footnote>
  <w:footnote w:id="29">
    <w:p w14:paraId="65C80505"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{"citationID":"ngl7yyqd","properties":{"formattedCitation":"Aniko Aji et al., \\uc0\\u8220{}Peran Peradilan Tata Usaha Negara Dalam Perspektif Fiqh Siyasah Untuk Mewujudkan Pemerintahan Yang Baik,\\uc0\\u8221{} {\\i{}Hutanasyah\\uc0\\u8239{}: Jurnal Hukum Tata Negara} 3, no. 2 (2025): 2, https://doi.org/10.37092/hutanasyah.v3i2.1075.","plainCitation":"Aniko Aji et al., “Peran Peradilan Tata Usaha Negara Dalam Perspektif Fiqh Siyasah Untuk Mewujudkan Pemerintahan Yang Baik,” Hutanasyah</w:instrText>
      </w:r>
      <w:r w:rsidRPr="006A6C13">
        <w:rPr>
          <w:rFonts w:ascii="Times New Roman"/>
          <w:sz w:val="20"/>
          <w:szCs w:val="20"/>
        </w:rPr>
        <w:instrText> </w:instrText>
      </w:r>
      <w:r w:rsidRPr="006A6C13">
        <w:rPr>
          <w:rFonts w:ascii="Garamond" w:hAnsi="Garamond" w:cstheme="majorBidi"/>
          <w:sz w:val="20"/>
          <w:szCs w:val="20"/>
        </w:rPr>
        <w:instrText xml:space="preserve">: Jurnal Hukum Tata Negara 3, no. 2 (2025): 2, https://doi.org/10.37092/hutanasyah.v3i2.1075.","noteIndex":29},"citationItems":[{"id":56,"uris":["http://zotero.org/users/17696806/items/82TGRM53"],"itemData":{"id":56,"type":"article-journal","abstract":"Article 9, paragraph (1) of Law No. 30 of 2014 on Government Administration stipulates that every decision and/or action taken by administrative officials must be based on statutory regulations and the General Principles of Good Governance (AAUPB). However, in practice, this provision is often disregarded by government officials, leading to abuse of authority. With the enactment of Law No. 30 of 2014, the authority of the State Administrative Court (PTUN) has expanded—not only to annul State Administrative Decisions but also to examine and determine whether there is an element of abuse of authority by government officials. As an independent judicial institution, PTUN plays a strategic role in overseeing the actions of administrative officials, ensuring that its authority is optimized to establish good governance based on AAUPB principles. The findings of this study indicate that the Role of the State Administrative Court in Establishing Good Governance from the Perspective of Fiqh Siyasah (A Case Study of PTUN Semarang) has been well-implemented by PTUN Semarang in accordance with the provisions of Law No. 30 of 2014 and the facts observed in the field.","container-title":"Hutanasyah : Jurnal Hukum Tata Negara","DOI":"10.37092/hutanasyah.v3i2.1075","ISSN":"3026-2496","issue":"2","language":"en","license":"Copyright (c) 2025 Aniko Aji, Jefik Zulfikar Hafizd, Am’mar Abdullah Arfan","note":"number: 2","page":"127-137","source":"jurnal.staibsllg.ac.id","title":"Peran Peradilan Tata Usaha Negara Dalam Perspektif Fiqh Siyasah Untuk Mewujudkan Pemerintahan Yang Baik","volume":"3","author":[{"family":"Aji","given":"Aniko"},{"family":"Hafizd","given":"Jefik Zulfikar"},{"family":"Arfan","given":"Am’mar Abdullah"}],"issued":{"date-parts":[["2025",2,28]]}}}],"schema":"https://github.com/citation-style-language/schema/raw/master/csl-citation.json"}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Aniko Aji et al., “The Role of Administrative Law in the Perspective of Fiqh Siyasah to Realize Good Governance,” </w:t>
      </w:r>
      <w:r w:rsidRPr="006A6C13">
        <w:rPr>
          <w:rFonts w:ascii="Garamond" w:hAnsi="Garamond" w:cstheme="majorBidi"/>
          <w:i/>
          <w:iCs/>
          <w:kern w:val="0"/>
          <w:sz w:val="20"/>
          <w:szCs w:val="20"/>
        </w:rPr>
        <w:t>Hutanasyah: Journal of Constitutional Law</w:t>
      </w:r>
      <w:r w:rsidRPr="006A6C13">
        <w:rPr>
          <w:rFonts w:ascii="Garamond" w:hAnsi="Garamond" w:cstheme="majorBidi"/>
          <w:kern w:val="0"/>
          <w:sz w:val="20"/>
          <w:szCs w:val="20"/>
        </w:rPr>
        <w:t xml:space="preserve"> 3, no. 2 (2025): 2, https://doi.org/10.37092/hutanasyah.v3i2.1075.</w:t>
      </w:r>
      <w:r w:rsidRPr="006A6C13">
        <w:rPr>
          <w:rFonts w:ascii="Garamond" w:hAnsi="Garamond" w:cstheme="majorBidi"/>
          <w:sz w:val="20"/>
          <w:szCs w:val="20"/>
        </w:rPr>
        <w:fldChar w:fldCharType="end"/>
      </w:r>
    </w:p>
  </w:footnote>
  <w:footnote w:id="30">
    <w:p w14:paraId="45758DB9"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{"citationID":"fvCkpzKO","properties":{"formattedCitation":"Muta\\uc0\\u8217{}allim, \\uc0\\u8220{}Kh. Hasyim Muzadi\\uc0\\u8217{}s Language Politeness Strategies in Responding The Different Perspective Between Nahdlatul Ulama and Muhammadiyah: A Sociopragmatic Study,\\uc0\\u8221{} {\\i{}Muslim Heritage} 10, no. 1 (2025): 1, https://doi.org/10.21154/muslimheritage.v10i1.10951.","plainCitation":"Muta’allim, “Kh. Hasyim Muzadi’s Language Politeness Strategies in Responding The Different Perspective Between Nahdlatul Ulama and Muhammadiyah: A Sociopragmatic Study,” Muslim Heritage 10, no. 1 (2025): 1, https://doi.org/10.21154/muslimheritage.v10i1.10951.","noteIndex":30},"citationItems":[{"id":81,"uris":["http://zotero.org/users/17696806/items/SFBVLFHI"],"itemData":{"id":81,"type":"article-journal","abstract":"This study highlights the concept of religious moderation as a strategic approach to mitigating conflicts that arise from differing religious viewpoints. The main objective of this research is to identify and explain the politeness strategies in language used by KH. Hasyim Muzadi (KHHM) in addressing national issues, using a socio-pragmatic approach. This study employs a qualitative descriptive method. The data analyzed consists of utterances containing language politeness strategies, with the data sources being speeches and statements made by KHHM that were uploaded to YouTube gontortv. Data collection was conducted by searching various social media platforms, online news sources, and related manuscripts. Once relevant materials were found, the researcher downloaded and watched KHHM's speech videos, then transcribed all utterances containing elements of politeness in language. After gathering the data, the researcher classified and validated the findings based on their relevance to the research questions. The results of the study show that: (1) the concept of religious moderation is effective in reducing the potential for religious conflict in Indonesia; (2) language politeness strategies are proven to be effective in addressing differing viewpoints, particularly between Nahdlatul Ulama and Muhammadiyah, and in encouraging mutual respect among Muslims; (3) the implementation of these strategies is influenced by several factors, such as the interlocutor’s characteristics, the social situation, the topic of conversation, the purpose of communication, and its impact on social relations; and (4) KHHM’s application of language politeness has a positive impact in fostering humane communication and harmonious social relationships, allowing communities to live together in safety, peace, and harmony.\n \nAbstrak\nPenelitian ini mengangkat konsep moderasi beragama sebagai pendekatan strategis dalam meredam konflik yang timbul akibat perbedaan perspektif keagamaan. Tujuan utama penelitian ini adalah untuk mengidentifikasi dan menjelaskan strategi kesantunan berbahasa KH. Hasym Muzadi (KHHM) dalam merespons persoalan-persoalan kebangsaan, dengan menggunakan pendekatan sosio-pragmatik. Penelitian ini menggunakan pendekatan deskriptif kualitatif. Data yang dianalisis berupa tuturan yang mengandung strategi kesantunan berbahasa, sedangkan sumber data diperoleh dari pidato dan pernyataan KH. Hasyim Muzadi (KHHM) yang diunggah di platform YouTube gontortv. Pengumpulan data dilakukan dengan menelusuri berbagai media sosial, berita daring, dan naskah terkait. Setelah menemukan materi yang relevan, peneliti mengunduh dan menonton video pidato KHHM, kemudian mencatat seluruh tuturan yang mengandung unsur kesantunan berbahasa. Setelah data terkumpul, peneliti melakukan klasifikasi dan validasi berdasarkan kesesuaiannya dengan rumusan masalah. Hasil penelitian menunjukkan bahwa (1) konsep moderasi beragama efektif dalam mereduksi potensi konflik keagamaan di Indonesia; (2) strategi kesantunan berbahasa terbukti ampuh dalam merespons perbedaan pandangan, khususnya antara Nahdlatul Ulama (NU) dan Muhammadiyah (MD), serta mampu mengajak umat Islam untuk saling menghargai perbedaan; (3) penerapan strategi tersebut dipengaruhi oleh beberapa faktor, seperti karakteristik lawan tutur, situasi sosial, topik pembicaraan, tujuan komunikasi, serta dampaknya terhadap relasi sosial; dan (4) penerapan kesantunan berbahasa KHHM berdampak positif dalam membentuk komunikasi yang humanis dan hubungan sosial yang harmonis, sehingga masyarakat dapat hidup berdampingan secara aman, damai, dan tenteram.\nKeywords: KH. Hasyim Muzadi; Language Politeness Strategies; Concept of Religious Moderation","container-title":"Muslim Heritage","DOI":"10.21154/muslimheritage.v10i1.10951","ISSN":"2502-5341","issue":"1","language":"en","license":"Copyright (c) 2025","note":"number: 1","page":"54-77","source":"jurnal.iainponorogo.ac.id","title":"Kh. Hasyim Muzadi’s Language Politeness Strategies in Responding The Different Perspective Between Nahdlatul Ulama and Muhammadiyah: a Sociopragmatic Study","title-short":"Kh. Hasyim Muzadi’s Language Politeness Strategies in Responding The Different Perspective Between Nahdlatul Ulama and Muhammadiyah","volume":"10","author":[{"family":"Muta'allim","given":""}],"issued":{"date-parts":[["2025",6,23]]}}}],"schema":"https://github.com/citation-style-language/schema/raw/master/csl-citation.json"}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Muta’allim, “Kh. Hasyim Muzadi's Language Politeness Strategies in Responding to the Different Perspectives Between Nahdlatul Ulama and Muhammadiyah: A Sociopragmatic Study," </w:t>
      </w:r>
      <w:r w:rsidRPr="006A6C13">
        <w:rPr>
          <w:rFonts w:ascii="Garamond" w:hAnsi="Garamond" w:cstheme="majorBidi"/>
          <w:i/>
          <w:iCs/>
          <w:kern w:val="0"/>
          <w:sz w:val="20"/>
          <w:szCs w:val="20"/>
        </w:rPr>
        <w:t>Muslim Heritage</w:t>
      </w:r>
      <w:r w:rsidRPr="006A6C13">
        <w:rPr>
          <w:rFonts w:ascii="Garamond" w:hAnsi="Garamond" w:cstheme="majorBidi"/>
          <w:kern w:val="0"/>
          <w:sz w:val="20"/>
          <w:szCs w:val="20"/>
        </w:rPr>
        <w:t xml:space="preserve"> 10, no. 1 (2025): 1, https://doi.org/10.21154/muslimheritage.v10i1.10951.</w:t>
      </w:r>
      <w:r w:rsidRPr="006A6C13">
        <w:rPr>
          <w:rFonts w:ascii="Garamond" w:hAnsi="Garamond" w:cstheme="majorBidi"/>
          <w:sz w:val="20"/>
          <w:szCs w:val="20"/>
        </w:rPr>
        <w:fldChar w:fldCharType="end"/>
      </w:r>
    </w:p>
  </w:footnote>
  <w:footnote w:id="31">
    <w:p w14:paraId="49CAC42E"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{"citationID":"HMyjqSaO","properties":{"formattedCitation":"Khusnul Khatimah et al., \\uc0\\u8220{}Negara Pancasila Dalam Perspektif Fikih Siyasah,\\uc0\\u8221{} {\\i{}Innovative: Journal Of Social Science Research} 4, no. 3 (2024): 3, https://doi.org/10.31004/innovative.v4i3.11501.","plainCitation":"Khusnul Khatimah et al., “Negara Pancasila Dalam Perspektif Fikih Siyasah,” Innovative: Journal Of Social Science Research 4, no. 3 (2024): 3, https://doi.org/10.31004/innovative.v4i3.11501.","noteIndex":31},"citationItems":[{"id":58,"uris":["http://zotero.org/users/17696806/items/SIHFPUDM"],"itemData":{"id":58,"type":"article-journal","abstract":"Pancasila merupakan dasar negara yang dibentuk setelah bangsa Indonesia meraih kemerdekaan. Pancasila sebagai dasar negara digunakan untuk mengatur seluruh tatanan kehidupan bangsa dan juga negara Indonesia. Serta segala sesuatu yang berhubungan dengan pelaksanaan sistem ketatanegaraan Negara Kesatuan Republik Indonesia (NKRI) yang wajib berdasarkan Pancasila. Gagasan fikih siyasah dapat dijadikan landasan utama bagi semua hukum yang berkaitan dengan urusan negara agar sesuai dengan cita-cita syariah. Dengan berlandaskan fikih siyasah dapat dijadikan acuan dalam menjawab permasalahan mengenai konsep negara pancasila perspektif fikih siyasah. Penelitian ini bertujuan untuk menganalisis konsep Negara Pancasila dari perspektif fikih siyasah, yaitu cabang ilmu hukum Islam yang membahas tentang tata kelola pemerintahan dan politik. Penulis menggunakan metode penulisan library research dan internet searching. Dengan tujuan para pembaca dan juga para peneliti selanjutnya dapat memahami secara mendalam mengenai negara pancasila dalam perspektif fikih siyasah.","container-title":"Innovative: Journal Of Social Science Research","DOI":"10.31004/innovative.v4i3.11501","ISSN":"2807-4238","issue":"3","language":"en","license":"Copyright (c) 2024 Khusnul Khatimah, Jamilah, Atiqah Amalya Azzahra, Diva Fitaloka Otaviani, Surya Sukti","note":"number: 3","page":"9004-9016","source":"j-innovative.org","title":"Negara Pancasila dalam Perspektif Fikih Siyasah","volume":"4","author":[{"family":"Khatimah","given":"Khusnul"},{"family":"Jamilah","given":"Jamilah"},{"family":"Azzahra","given":"Atiqah Amalya"},{"family":"Otaviani","given":"Diva Fitaloka"},{"family":"Sukti","given":"Surya"}],"issued":{"date-parts":[["2024",6,2]]}}}],"schema":"https://github.com/citation-style-language/schema/raw/master/csl-citation.json"}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Khusnul Khatimah et al., “Negara Pancasila Dalam Perspektif Fikih Siyasah,” </w:t>
      </w:r>
      <w:r w:rsidRPr="006A6C13">
        <w:rPr>
          <w:rFonts w:ascii="Garamond" w:hAnsi="Garamond" w:cstheme="majorBidi"/>
          <w:i/>
          <w:iCs/>
          <w:kern w:val="0"/>
          <w:sz w:val="20"/>
          <w:szCs w:val="20"/>
        </w:rPr>
        <w:t>Innovative: Journal Of Social Science Research</w:t>
      </w:r>
      <w:r w:rsidRPr="006A6C13">
        <w:rPr>
          <w:rFonts w:ascii="Garamond" w:hAnsi="Garamond" w:cstheme="majorBidi"/>
          <w:kern w:val="0"/>
          <w:sz w:val="20"/>
          <w:szCs w:val="20"/>
        </w:rPr>
        <w:t xml:space="preserve"> 4, no. 3 (2024): 3, https://doi.org/10.31004/innovative.v4i3.11501.</w:t>
      </w:r>
      <w:r w:rsidRPr="006A6C13">
        <w:rPr>
          <w:rFonts w:ascii="Garamond" w:hAnsi="Garamond" w:cstheme="majorBidi"/>
          <w:sz w:val="20"/>
          <w:szCs w:val="20"/>
        </w:rPr>
        <w:fldChar w:fldCharType="end"/>
      </w:r>
    </w:p>
  </w:footnote>
  <w:footnote w:id="32">
    <w:p w14:paraId="02D4E79D"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{"citationID":"Q1wfz4wr","properties":{"formattedCitation":"Heye Huang et al., \\uc0\\u8220{}Understanding Driver Cognition and Decision-Making Behaviors in High-Risk Scenarios: A Drift Diffusion Perspective,\\uc0\\u8221{} {\\i{}Accident Analysis &amp; Prevention} 220 (September 2025): 108123, https://doi.org/10.1016/j.aap.2025.108123.","plainCitation":"Heye Huang et al., “Understanding Driver Cognition and Decision-Making Behaviors in High-Risk Scenarios: A Drift Diffusion Perspective,” Accident Analysis &amp; Prevention 220 (September 2025): 108123, https://doi.org/10.1016/j.aap.2025.108123.","noteIndex":32},"citationItems":[{"id":89,"uris":["http://zotero.org/users/17696806/items/VUQNJALQ"],"itemData":{"id":89,"type":"article-journal","abstract":"Ensuring safe interactions between autonomous vehicles (AVs) and human drivers in mixed traffic systems remains a major challenge, particularly in complex, high-risk scenarios. This paper presents a cognition-decision framework that integrates individual variability and commonalities in driver behavior to quantify risk cognition and model dynamic decision-making. First, a risk sensitivity model based on a multivariate Gaussian distribution is developed to characterize individual differences in risk cognition. Then, a cognitive decision-making model based on the drift diffusion model (DDM) is introduced to capture common decision-making mechanisms in high-risk environments. The DDM dynamically adjusts decision thresholds by integrating initial bias, drift rate, and boundary parameters, adapting to variations in speed, relative distance, and risk sensitivity to reflect diverse driving styles and risk preferences. By simulating high-risk scenarios with lateral, longitudinal, and multidimensional risk sources in a driving simulator, the proposed model accurately predicts cognitive responses and decision behaviors during emergency maneuvers. Specifically, by incorporating driver-specific risk sensitivity, the model enables dynamic adjustments of key DDM parameters, allowing for personalized decision-making representations in diverse scenarios. Comparative analysis with IDM, Gipps, and MOBIL demonstrates that DDM more precisely captures human cognitive processes and adaptive decision-making in high-risk scenarios. These findings provide a theoretical basis for modeling human driving behavior and offer critical insights for enhancing AV-human interaction in real-world traffic environments.","container-title":"Accident Analysis &amp; Prevention","DOI":"10.1016/j.aap.2025.108123","ISSN":"0001-4575","journalAbbreviation":"Accident Analysis &amp; Prevention","page":"108123","source":"ScienceDirect","title":"Understanding driver cognition and decision-making behaviors in high-risk scenarios: A drift diffusion perspective","title-short":"Understanding driver cognition and decision-making behaviors in high-risk scenarios","volume":"220","author":[{"family":"Huang","given":"Heye"},{"family":"Li","given":"Zheng"},{"family":"Cheng","given":"Hao"},{"family":"Wang","given":"Haoran"},{"family":"Jiang","given":"Junkai"},{"family":"Li","given":"Xiaopeng"},{"family":"Zgonnikov","given":"Arkady"}],"issued":{"date-parts":[["2025",9,1]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Heye Huang et al., “Understanding Driver Cognition and Decision-Making Behaviors in High-Risk Scenarios: A Drift Diffusion Perspective,” </w:t>
      </w:r>
      <w:r w:rsidRPr="006A6C13">
        <w:rPr>
          <w:rFonts w:ascii="Garamond" w:hAnsi="Garamond" w:cstheme="majorBidi"/>
          <w:i/>
          <w:iCs/>
          <w:kern w:val="0"/>
          <w:sz w:val="20"/>
          <w:szCs w:val="20"/>
        </w:rPr>
        <w:t>Accident Analysis &amp; Prevention</w:t>
      </w:r>
      <w:r w:rsidRPr="006A6C13">
        <w:rPr>
          <w:rFonts w:ascii="Garamond" w:hAnsi="Garamond" w:cstheme="majorBidi"/>
          <w:kern w:val="0"/>
          <w:sz w:val="20"/>
          <w:szCs w:val="20"/>
        </w:rPr>
        <w:t xml:space="preserve"> 220 (September 2025): 108123, https://doi.org/10.1016/j.aap.2025.108123.</w:t>
      </w:r>
      <w:r w:rsidRPr="006A6C13">
        <w:rPr>
          <w:rFonts w:ascii="Garamond" w:hAnsi="Garamond" w:cstheme="majorBidi"/>
          <w:sz w:val="20"/>
          <w:szCs w:val="20"/>
        </w:rPr>
        <w:fldChar w:fldCharType="end"/>
      </w:r>
    </w:p>
  </w:footnote>
  <w:footnote w:id="33">
    <w:p w14:paraId="3CC62FC7"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{"citationID":"1aOHE1pV","properties":{"formattedCitation":"Diah Sari Pangestuti, \\uc0\\u8220{}Peran Lembaga Kepolisian Dalam Perspektif Fiqh Siyasah,\\uc0\\u8221{} {\\i{}Al-Qanun: Jurnal Pemikiran Dan Pembaharuan Hukum Islam} 22, no. 2 (2019): 2, https://doi.org/10.15642/alqanun.2019.22.2.401-423.","plainCitation":"Diah Sari Pangestuti, “Peran Lembaga Kepolisian Dalam Perspektif Fiqh Siyasah,” Al-Qanun: Jurnal Pemikiran Dan Pembaharuan Hukum Islam 22, no. 2 (2019): 2, https://doi.org/10.15642/alqanun.2019.22.2.401-423.","noteIndex":33},"citationItems":[{"id":60,"uris":["http://zotero.org/users/17696806/items/BPCUQV33"],"itemData":{"id":60,"type":"article-journal","abstract":"Looking at the crime statistic, it shows the continuous increase of crime either in number and quality. Even more varied and creative. Therefore, in order to produce internal security and to maintain the wellbeing of the people, a special institution is needed to handle it, namely the Police Agency. By using normative legal research and combining it with an analytical approach in order to analyze the data descriptively and inductively, this study tries to determine the role of the Police agency based on Fiqh Siyasah. It is concluded that: firstly, in Indonesian, there is a Police Agency that is a state instrument that plays a role in maintaining public order and security, enforcing the law, providing protection and services to the public. Secondly, in Islamic Law, there is the&amp;nbsp;Muhtasib&amp;nbsp;Institution, which has a supervisory and controlling body. Thirdly, that the Police in Islamic and Indonesian Law has almost the same duties that are as law enforcement to maintain security and public order. However, because of the law in Islam covers both&amp;nbsp;mu'amalah&amp;nbsp;and 'ubudiyyah aspects, so the scope of police responsibility in Islam is broader.","container-title":"Al-Qanun: Jurnal Pemikiran dan Pembaharuan Hukum Islam","DOI":"10.15642/alqanun.2019.22.2.401-423","ISSN":"2722-1075","issue":"2","language":"en","license":"Copyright (c) 2020 Al-Qanun: Jurnal Pemikiran dan Pembaharuan Hukum Islam","note":"number: 2","page":"401-423","source":"jurnalfsh.uinsa.ac.id","title":"Peran Lembaga Kepolisian dalam Perspektif Fiqh Siyasah","volume":"22","author":[{"family":"Pangestuti","given":"Diah Sari"}],"issued":{"date-parts":[["2019"]]}}}],"schema":"https://github.com/citation-style-language/schema/raw/master/csl-citation.json"}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Diah Sari Pangestuti, “The Role of Police Institutions in the Perspective of Fiqh Siyasah,” </w:t>
      </w:r>
      <w:r w:rsidRPr="006A6C13">
        <w:rPr>
          <w:rFonts w:ascii="Garamond" w:hAnsi="Garamond" w:cstheme="majorBidi"/>
          <w:i/>
          <w:iCs/>
          <w:kern w:val="0"/>
          <w:sz w:val="20"/>
          <w:szCs w:val="20"/>
        </w:rPr>
        <w:t>Al-Qanun: Journal of Islamic Legal Thought and Reform</w:t>
      </w:r>
      <w:r w:rsidRPr="006A6C13">
        <w:rPr>
          <w:rFonts w:ascii="Garamond" w:hAnsi="Garamond" w:cstheme="majorBidi"/>
          <w:kern w:val="0"/>
          <w:sz w:val="20"/>
          <w:szCs w:val="20"/>
        </w:rPr>
        <w:t xml:space="preserve"> 22, no. 2 (2019): 2, https://doi.org/10.15642/alqanun.2019.22.2.401-423.</w:t>
      </w:r>
      <w:r w:rsidRPr="006A6C13">
        <w:rPr>
          <w:rFonts w:ascii="Garamond" w:hAnsi="Garamond" w:cstheme="majorBidi"/>
          <w:sz w:val="20"/>
          <w:szCs w:val="20"/>
        </w:rPr>
        <w:fldChar w:fldCharType="end"/>
      </w:r>
    </w:p>
  </w:footnote>
  <w:footnote w:id="34">
    <w:p w14:paraId="1A23B28D"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{"citationID":"9tp0kW7s","properties":{"formattedCitation":"Endrik Safudin and Sesario Aulia, \\uc0\\u8220{}Maslahah Mursalah in Ultra Petita Decision of The Constitutional Court,\\uc0\\u8221{} {\\i{}Muslim Heritage} 10, no. 1 (2025): 1, https://doi.org/10.21154/muslimheritage.v10i1.10764.","plainCitation":"Endrik Safudin and Sesario Aulia, “Maslahah Mursalah in Ultra Petita Decision of The Constitutional Court,” Muslim Heritage 10, no. 1 (2025): 1, https://doi.org/10.21154/muslimheritage.v10i1.10764.","noteIndex":34},"citationItems":[{"id":83,"uris":["http://zotero.org/users/17696806/items/CZVRGK4K"],"itemData":{"id":83,"type":"article-journal","abstract":"Ultra Petita refers to a court decision that goes beyond what was requested. Judges handling certain cases are limited to the issues raised by the parties involved. If the judge grants more than what was requested, the decision falls under Ultra Petita. In this context, the judge is only authorized to consider the claims and lawsuits based on those claims (iudex non ultra petita or ultra petita non cognoscitur). The judge only determines whether the issues at issue are true or false. Judges are prohibited from increasing or decreasing the demands and may not grant more than what is requested. This research aims to analyze two things. First, it discusses how the Constitutional Court's ultra petita decision is constructed. Second, it discusses how the principle of maslahah-mursalah is applied in the ultra petita decision of the Constitutional Court. By using descriptive analysis, the results show that the decisions of the Constitutional Court are an effort to protect the constitutional rights of citizens. Second, the ultra petita decision is in line with the principles of maslahah-mursalah. Ultra petita decisions allow constitutional judges to provide fair and valuable decisions and provide legal certainty.\n \nAbstrak \nUltra Petita mengacu pada keputusan pengadilan yang melebihi apa yang diminta. Hakim yang menangani kasus-kasus tertentu terbatas pada masalah yang diajukan oleh pihak-pihak yang terlibat. Jika hakim mengabulkan lebih dari yang diminta, keputusan tersebut termasuk dalam Ultra Petita. Dalam konteks ini, hakim hanya berwenang untuk mempertimbangkan tuntutan dan tuntutan hukum yang didasarkan pada tuntutan tersebut (iudex non ultra petita atau ultra petita non cognoscitur). Hakim hanya menentukan apakah isu yang dipermasalahkan benar atau salah. Hakim dilarang menambah atau mengurangi tuntutan dan tidak boleh mengabulkan lebih dari yang diminta. Penelitian ini Bertujuan menganalisis dua hal. Pertama, membahas bagaimana putusan ultra petita Mahkamah Konstitusi dikonstruksikan. Kedua, membahas bagaimana prinsip maslahah-mursalah diterapkan dalam putusan ultra petita Mahkamah Konstitusi. Dengan menggunakan analisis deskriptif, Hasil penelitian menunjukkan bahwa putusan-putusan Mahkamah Konstitusi merupakan upaya untuk melindungi hak-hak konstitusional warga negara. Kedua, putusan ultra petita sejalan dengan prinsip-prinsip maslahah-mursalah. Putusan ultra petita memungkinkan hakim konstitusi untuk memberikan putusan yang adil dan bernilai serta memberikan kepastian hukum.","container-title":"Muslim Heritage","DOI":"10.21154/muslimheritage.v10i1.10764","ISSN":"2502-5341","issue":"1","language":"en","license":"Copyright (c) 2025","note":"number: 1","page":"127-136","source":"jurnal.iainponorogo.ac.id","title":"Maslahah Mursalah in Ultra Petita Decision of The Constitutional Court","volume":"10","author":[{"family":"Safudin","given":"Endrik"},{"family":"Aulia","given":"Sesario"}],"issued":{"date-parts":[["2025",6,25]]}}}],"schema":"https://github.com/citation-style-language/schema/raw/master/csl-citation.json"}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Endrik Safudin and Sesario Aulia, “Maslahah Mursalah in Ultra Petita Decision of The Constitutional Court,” </w:t>
      </w:r>
      <w:r w:rsidRPr="006A6C13">
        <w:rPr>
          <w:rFonts w:ascii="Garamond" w:hAnsi="Garamond" w:cstheme="majorBidi"/>
          <w:i/>
          <w:iCs/>
          <w:kern w:val="0"/>
          <w:sz w:val="20"/>
          <w:szCs w:val="20"/>
        </w:rPr>
        <w:t>Muslim Heritage</w:t>
      </w:r>
      <w:r w:rsidRPr="006A6C13">
        <w:rPr>
          <w:rFonts w:ascii="Garamond" w:hAnsi="Garamond" w:cstheme="majorBidi"/>
          <w:kern w:val="0"/>
          <w:sz w:val="20"/>
          <w:szCs w:val="20"/>
        </w:rPr>
        <w:t xml:space="preserve"> 10, no. 1 (2025): 1, https://doi.org/10.21154/muslimheritage.v10i1.10764.</w:t>
      </w:r>
      <w:r w:rsidRPr="006A6C13">
        <w:rPr>
          <w:rFonts w:ascii="Garamond" w:hAnsi="Garamond" w:cstheme="majorBidi"/>
          <w:sz w:val="20"/>
          <w:szCs w:val="20"/>
        </w:rPr>
        <w:fldChar w:fldCharType="end"/>
      </w:r>
    </w:p>
  </w:footnote>
  <w:footnote w:id="35">
    <w:p w14:paraId="668579C0"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{"citationID":"1cAe8O89","properties":{"formattedCitation":"Askana Fikriana and M. Kahfi Rezki, \\uc0\\u8220{}Etika Politik Dan Kualifikasi Calon Legislatif Dalam Pemilu: Perspektif Fiqih Siyasah,\\uc0\\u8221{} {\\i{}ALADALAH: Jurnal Politik, Sosial, Hukum Dan Humaniora} 2, no. 1 (2024): 235\\uc0\\u8211{}48, https://doi.org/10.59246/aladalah.v2i1.657.","plainCitation":"Askana Fikriana and M. Kahfi Rezki, “Etika Politik Dan Kualifikasi Calon Legislatif Dalam Pemilu: Perspektif Fiqih Siyasah,” ALADALAH: Jurnal Politik, Sosial, Hukum Dan Humaniora 2, no. 1 (2024): 235–48, https://doi.org/10.59246/aladalah.v2i1.657.","noteIndex":35},"citationItems":[{"id":62,"uris":["http://zotero.org/users/17696806/items/5HGCKVMF"],"itemData":{"id":62,"type":"article-journal","abstract":"General Election (Pemilu) in Indonesia is a special process involving the entire society in determining the leadership of the state. However, the qualifications of a leader often differ from the desired ideals. This research explores the political structure and ethics of Islam in the context of contemporary politics. The principles of Islamic politics encompass unity through consultation, trustworthiness, upholding fair law, and obedience to Allah, the Prophet, and those in authority. From the perspective of siyasah fiqh, the regulation of human interests, including the state, is governed by Islamic teachings. Ethics play a crucial role in guiding political behavior, ensuring actions that are right and just for the common good. As a significant belief, Islamic leadership demands integrity, deep knowledge of religion, and the ability to apply Islamic teachings in everyday life. Moreover, integrity, honesty, and wisdom in leadership are key attributes desired in an Islamic leader. Effective communication and good relations with the community are also important in choosing the right leader. By considering these criteria, we can ensure that Islamic principles are reflected in public policies. This research provides a foundation for selecting an ideal leader in the legislative domain in the future, ensuring that leadership reflects the desired Islamic values of the community.","container-title":"ALADALAH: Jurnal Politik, Sosial, Hukum dan Humaniora","DOI":"10.59246/aladalah.v2i1.657","ISSN":"2962-8903","issue":"1","language":"en","page":"235-248","source":"ejurnalqarnain.stisnq.ac.id","title":"Etika Politik Dan Kualifikasi Calon Legislatif Dalam Pemilu: Perspektif Fiqih Siyasah","title-short":"Etika Politik Dan Kualifikasi Calon Legislatif Dalam Pemilu","volume":"2","author":[{"family":"Fikriana","given":"Askana"},{"family":"Rezki","given":"M. Kahfi"}],"issued":{"date-parts":[["2024"]]}}}],"schema":"https://github.com/citation-style-language/schema/raw/master/csl-citation.json"}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Askana Fikriana and M. Kahfi Rezki, “Political Ethics and Qualifications of Legislative Candidates in Elections: A Fiqh Siyasah Perspective,” </w:t>
      </w:r>
      <w:r w:rsidRPr="006A6C13">
        <w:rPr>
          <w:rFonts w:ascii="Garamond" w:hAnsi="Garamond" w:cstheme="majorBidi"/>
          <w:i/>
          <w:iCs/>
          <w:kern w:val="0"/>
          <w:sz w:val="20"/>
          <w:szCs w:val="20"/>
        </w:rPr>
        <w:t>ALADALAH: Journal of Politics, Social Sciences, Law, and Humanities</w:t>
      </w:r>
      <w:r w:rsidRPr="006A6C13">
        <w:rPr>
          <w:rFonts w:ascii="Garamond" w:hAnsi="Garamond" w:cstheme="majorBidi"/>
          <w:kern w:val="0"/>
          <w:sz w:val="20"/>
          <w:szCs w:val="20"/>
        </w:rPr>
        <w:t xml:space="preserve"> 2, no. 1 (2024): 235–48, https://doi.org/10.59246/aladalah.v2i1.657.</w:t>
      </w:r>
      <w:r w:rsidRPr="006A6C13">
        <w:rPr>
          <w:rFonts w:ascii="Garamond" w:hAnsi="Garamond" w:cstheme="majorBidi"/>
          <w:sz w:val="20"/>
          <w:szCs w:val="20"/>
        </w:rPr>
        <w:fldChar w:fldCharType="end"/>
      </w:r>
    </w:p>
  </w:footnote>
  <w:footnote w:id="36">
    <w:p w14:paraId="299CB33D"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{"citationID":"mrpO51uY","properties":{"formattedCitation":"Ahmad Suminto et al., \\uc0\\u8220{}Comparative Analysis of The Influence of Sharia and Conventional Monetary Instruments on The Real Sector: An Empirical Study of Indonesia\\uc0\\u8217{}s IPI,\\uc0\\u8221{} {\\i{}Muslim Heritage} 9, no. 2 (2024): 2, https://doi.org/10.21154/muslimheritage.v9i2.8892.","plainCitation":"Ahmad Suminto et al., “Comparative Analysis of The Influence of Sharia and Conventional Monetary Instruments on The Real Sector: An Empirical Study of Indonesia’s IPI,” Muslim Heritage 9, no. 2 (2024): 2, https://doi.org/10.21154/muslimheritage.v9i2.8892.","noteIndex":36},"citationItems":[{"id":85,"uris":["http://zotero.org/users/17696806/items/RBERE593"],"itemData":{"id":85,"type":"article-journal","abstract":"Abstract\nIndonesia implements a dual monetary policy system, namely conventional and sharia systems that run side by side. The conventional system is a system of interest, while the Sharia system is a system of profit-sharing. The role of the monetary sector in Indonesia's economic growth is very important by minimizing transaction costs or information in financial markets. To ensure the smooth flow of economic activities and enhance the productivity of individuals in the production of goods and services in the real sector. The purpose of this study is to determine the influence of Islamic and conventional monetary instruments on the real sector. This study uses quantitative methods with an Autoregressive Distributed Lag (ARDL) estimation model with the Industrial Production Index (IPI) as the dependent variable. Bank Indonesia Sharia Certificates (SBIS), Sharia Interbank Money Market (PUAS) and financing as independent variables of Islamic monetary instruments, while Bank Indonesia Certificates (SBI), Interbank Money Market (PUAB) and credit as independent variables of conventional monetary instruments. The results of this study show that Islamic and conventional monetary instruments as a whole affect the Industrial Production Index (IPI) as a real sector with an influence of 77% on Islamic monetary instruments and 45% on conventional monetary instruments. In this study, the variables that affect IPI are SBIS, PUAS, financing and interbank while SBI and credit variables do not affect IPI.\nAbstrak\nIndonesia menerapkan sistem kebijakan moneter ganda yaitu sistem konvensional dan syariah yang berjalan berdampingan. Penerapan pada sistem konvensional dengan sistem bunga sedangkan pada sistem syariah menganut sistem bagi hasil. Peran sektor moneter pada pertumbuhan ekonomi Indonesia sangatlah penting dengan meminimalisir biaya transaksi ataupun informasi di pasar keuangan. Sehingga kegiatan ekonomi berjalan lancar dan dapat meningkatkan produktifitas masyarakat dalam menghasilkan barang dan jasa di sektor riil. Tujuan penelitian ini untuk mengetahui pengaruh dari instrumen moneter syariah dan konvensional terhadap sektor riil. Penelitian ini menggunakan metode kuantitatif dengan model estimasi Autoregressive Distributed Lag (ARDL) dengan Indeks Produksi Industri (IPI) sebagai variabel dependen. Sertifikat Bank Indonesia Syariah (SBIS), Pasar Uang Antar Bank Syariah (PUAS) dan pembiayaan sebagai variabel independen dari instrumen moneter syariah, sedangkan Sertifikat Bank Indonesia (SBI), Pasar Uang Antar Bank (PUAB) dan kredit sebagai variabel independen dari instrumen moneter konvensional. Hasil dari penelitian ini menunjukkan bahwa instrumen moneter syariah dan konvensional secara keseluruhan berpengaruh terhadap Indeks Produksi Industri (IPI) sebagai sektor riil dengan pengaruh sebesar 77% pada instrumen moneter syariah dan 45% pada instrumen moneter konvensional. Dalam penelitian ini, variabel yang berpengaruh terhadap IPI adalah SBIS, PUAS, pembiayaan dan PUAB sedangkan variabel SBI dan kredit tidak berpengaruh terhadap IPI.\nKeywords: Sharia Monetary; Conventional Monetary; Real Sector and Industrial Production Inde","container-title":"Muslim Heritage","DOI":"10.21154/muslimheritage.v9i2.8892","ISSN":"2502-5341","issue":"2","language":"en","license":"Copyright (c) 2024","note":"number: 2","page":"241-262","source":"jurnal.iainponorogo.ac.id","title":"Comparative Analysis of The Influence of Sharia and Conventional Monetary Instruments on The Real Sector: An Empirical Study of Indonesia's IPI","title-short":"Comparative Analysis of The Influence of Sharia and Conventional Monetary Instruments on The Real Sector","volume":"9","author":[{"family":"Suminto","given":"Ahmad"},{"family":"Hidayat","given":"Ahmad Agus"},{"family":"Azkiya","given":"Risma Nada"},{"family":"Rumasukun","given":"Muhammad Alfan"},{"family":"Purnama","given":"Rizki Ari"}],"issued":{"date-parts":[["2024",12,30]]}}}],"schema":"https://github.com/citation-style-language/schema/raw/master/csl-citation.json"}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Ahmad Suminto et al., “Comparative Analysis of The Influence of Sharia and Conventional Monetary Instruments on The Real Sector: An Empirical Study of Indonesia’s IPI,” </w:t>
      </w:r>
      <w:r w:rsidRPr="006A6C13">
        <w:rPr>
          <w:rFonts w:ascii="Garamond" w:hAnsi="Garamond" w:cstheme="majorBidi"/>
          <w:i/>
          <w:iCs/>
          <w:kern w:val="0"/>
          <w:sz w:val="20"/>
          <w:szCs w:val="20"/>
        </w:rPr>
        <w:t>Muslim Heritage</w:t>
      </w:r>
      <w:r w:rsidRPr="006A6C13">
        <w:rPr>
          <w:rFonts w:ascii="Garamond" w:hAnsi="Garamond" w:cstheme="majorBidi"/>
          <w:kern w:val="0"/>
          <w:sz w:val="20"/>
          <w:szCs w:val="20"/>
        </w:rPr>
        <w:t xml:space="preserve"> 9, no. 2 (2024): 2, https://doi.org/10.21154/muslimheritage.v9i2.8892.</w:t>
      </w:r>
      <w:r w:rsidRPr="006A6C13">
        <w:rPr>
          <w:rFonts w:ascii="Garamond" w:hAnsi="Garamond" w:cstheme="majorBidi"/>
          <w:sz w:val="20"/>
          <w:szCs w:val="20"/>
        </w:rPr>
        <w:fldChar w:fldCharType="end"/>
      </w:r>
    </w:p>
  </w:footnote>
  <w:footnote w:id="37">
    <w:p w14:paraId="7B94E1A1"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{"citationID":"QybVhzzF","properties":{"formattedCitation":"Aniko Aji, \\uc0\\u8220{}Peranan Peradilan Tata Usaha Negara Dalam Menciptakan Pemerintahan Yang Baik Dalam Perspektif Fiqh Siyasah (Studi Kasus PTUN Semarang)\\uc0\\u8221{} (diploma, S1-Hukum Tatanegara Islam UIN SSC, 2024), https://syekhnurjati.ac.id.","plainCitation":"Aniko Aji, “Peranan Peradilan Tata Usaha Negara Dalam Menciptakan Pemerintahan Yang Baik Dalam Perspektif Fiqh Siyasah (Studi Kasus PTUN Semarang)” (diploma, S1-Hukum Tatanegara Islam UIN SSC, 2024), https://syekhnurjati.ac.id.","noteIndex":37},"citationItems":[{"id":64,"uris":["http://zotero.org/users/17696806/items/KIGA3CZE"],"itemData":{"id":64,"type":"thesis","abstract":"Dalam Pasal 9 ayat (1) Undang-Undang No. 30 Tahun 2014 tentang\nAdministrasi Pemerintahan, dikatakan bahwa setiap keputusan yang dikeluarkan,\ndan/atau tindakan yang dilakukan oleh pejabat administrasi negara harus\ndidasarkan pada peraturan perundang-undangan dan Asas-Asas Umum\nPemerintahan yang Baik (AAUPB). Namun dalam praktiknya terkadang hal\ntersebut dinegasikan oleh Pejabat Pemerintahan, yang kemudian berdampak pada\npenyalahgunaan wewenang. Dengan berlakunya Undang-Undang No. 30 Tahun\n2014, kewenangan dari Peradilan Tata Usaha Negara (PTUN) mengalami\nperluasan, yakni tidak hanya dapat membatalkan keberlakuan suatu Keputusan\nTata Usaha Negara, tetapi juga berwenang untuk memeriksa dan memutuskan ada\natau tidaknya unsur penyalahgunaan wewenang yang dilakukan oleh Pejabat\nPemerintahan dalam menjalankan tugasnya. Dengan demikian, PTUN sebagai\nlembaga judicial yang independen memiliki peran penting dalam mengontrol\ntindakan dari pejabat administrasi negara, sehingga kewenangan tersebut harus\ndioptimalkan guna mewujudkan suatu pemerintahan yang baik berdasarkan\nprinsip AAUPB.\nPenelitian ini bertujuan untuk menjawab dari pertanyaan-pertanyaan yang\nmenjadi rumusan masalah: “Bagaimana Peran Kedudukan Peradilan Tata Usaha\nNegara Dalam Negara Hukum Di Indonesia, Bagimana Peran Peradilan Tata\nUsaha Negara Semarang Dalam Menciptakan Pemerintahan Yang Baik dan\nBagaimana Peranan Peradilan Tata Usaha Negara Semarang Dalam Perspektif\nFiqh Siyasah. Penelitian ini menggunakan metode penelitian hukum normatifempiris,\ndata yang dikumpulkan dengan cara wawancara, observasi lapangan,\ndokumentasi, dan kemudian dianalisis dengan metode deskriptif.\nAdapun hasil penelitian ini menunjukan bahwa Peranan Peradilan Tata\nUsaha Negara Dalam Menciptakan Pemerintahan Yang Baik Dalam Perspektif\nFiqh Siyasah (Studi Kasus PTUN Semarang) yang dilaksanakan oleh PTUN\nSemarang selaku penegak hukum sudah terimplementasi dengan baik sesuai\ndengan apa yang tertuang dalam Undang-Undang No.30 Tahun 2014 tersebut dan\nsesuai dengan fakta dilapangan.\nKata kunci : Peranan, Peradilan Tata Usaha Negara, Pemerintahan Yang Baik,\nPTUN Semarang","genre":"diploma","language":"en","publisher":"S1-Hukum Tatanegara Islam UIN SSC","source":"repository.syekhnurjati.ac.id","title":"Peranan Peradilan Tata Usaha Negara Dalam Menciptakan Pemerintahan Yang Baik Dalam Perspektif Fiqh Siyasah (Studi Kasus PTUN Semarang)","URL":"https://syekhnurjati.ac.id","author":[{"family":"Aniko Aji","given":""}],"accessed":{"date-parts":[["2025",8,5]]},"issued":{"date-parts":[["2024",10,1]]}}}],"schema":"https://github.com/citation-style-language/schema/raw/master/csl-citation.json"}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Aniko Aji, “The Role of Administrative Courts in Creating Good Governance from the Perspective of Fiqh Siyasah (Case Study of the Semarang Administrative Court)” (diploma, S1-Islamic Constitutional Law UIN SSC, 2024), https://syekhnurjati.ac.id.</w:t>
      </w:r>
      <w:r w:rsidRPr="006A6C13">
        <w:rPr>
          <w:rFonts w:ascii="Garamond" w:hAnsi="Garamond" w:cstheme="majorBidi"/>
          <w:sz w:val="20"/>
          <w:szCs w:val="20"/>
        </w:rPr>
        <w:fldChar w:fldCharType="end"/>
      </w:r>
    </w:p>
  </w:footnote>
  <w:footnote w:id="38">
    <w:p w14:paraId="19A0DFB7"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{"citationID":"kVLS4pIH","properties":{"formattedCitation":"Victor E. Kappeler and Larry K. Gaines, \\uc0\\u8220{}Chapter 1 - The Idea of Community Policing,\\uc0\\u8221{} in {\\i{}Community Policing (Fifth Edition)}, ed. Victor E. Kappeler and Larry K. Gaines (Anderson Publishing, Ltd., 2009), https://doi.org/10.1016/B978-1-59345-511-8.50005-9.","plainCitation":"Victor E. Kappeler and Larry K. Gaines, “Chapter 1 - The Idea of Community Policing,” in Community Policing (Fifth Edition), ed. Victor E. Kappeler and Larry K. Gaines (Anderson Publishing, Ltd., 2009), https://doi.org/10.1016/B978-1-59345-511-8.50005-9.","noteIndex":38},"citationItems":[{"id":95,"uris":["http://zotero.org/users/17696806/items/3T8Y8D6H"],"itemData":{"id":95,"type":"chapter","abstract":"Community policing not only addresses community concerns, but it is a philosophy that turns traditional policing on its head by empowering the community rather than dictating to the community. Community policing rests on the belief that only by working together with people the police is able to improve quality of life. Community policing is a grassroots form of participation, rather than a representative top–down approach to address contemporary community life. It has taken a number of directions; there is a common overarching logic and structure to it. Four major facets occur when community policing is implemented: (1) the philosophical facet, (2) the organizational and personnel facet, (3) the strategic facet, and (4) the programmatic facet. All four facets must exist if a department is implementing community policing. Community policing represents a comprehensive attack on community problems. Community policing signals a time, whereby the police are concerned with people and their problems as opposed to focusing solely on responding to calls for service and making arrests. Community policing requires the police work as closely as possible with people to identify and solve their problems. Under Community policing, crime reduction and “crook-catching” are not primary objectives, but represent strategies that are a part of a rich, over-arching philosophy.","container-title":"Community Policing (Fifth Edition)","ISBN":"978-1-59345-511-8","note":"DOI: 10.1016/B978-1-59345-511-8.50005-9","page":"1a-36","publisher":"Anderson Publishing, Ltd.","source":"ScienceDirect","title":"Chapter 1 - The Idea of Community Policing","URL":"https://www.sciencedirect.com/science/article/pii/B9781593455118500059","author":[{"family":"Kappeler","given":"Victor E."},{"family":"Gaines","given":"Larry K."}],"editor":[{"family":"Kappeler","given":"Victor E."},{"family":"Gaines","given":"Larry K."}],"accessed":{"date-parts":[["2025",8,6]]},"issued":{"date-parts":[["2009",1,1]]}}}],"schema":"https://github.com/citation-style-language/schema/raw/master/csl-citation.json"}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Victor E. Kappeler and Larry K. Gaines, “Chapter 1 - The Idea of Community Policing,” in </w:t>
      </w:r>
      <w:r w:rsidRPr="006A6C13">
        <w:rPr>
          <w:rFonts w:ascii="Garamond" w:hAnsi="Garamond" w:cstheme="majorBidi"/>
          <w:i/>
          <w:iCs/>
          <w:kern w:val="0"/>
          <w:sz w:val="20"/>
          <w:szCs w:val="20"/>
        </w:rPr>
        <w:t xml:space="preserve">Community Policing (Fifth Edition), </w:t>
      </w:r>
      <w:r w:rsidRPr="006A6C13">
        <w:rPr>
          <w:rFonts w:ascii="Garamond" w:hAnsi="Garamond" w:cstheme="majorBidi"/>
          <w:kern w:val="0"/>
          <w:sz w:val="20"/>
          <w:szCs w:val="20"/>
        </w:rPr>
        <w:t>ed. Victor E. Kappeler and Larry K. Gaines (Anderson Publishing, Ltd., 2009), https://doi.org/10.1016/B978-1-59345-511-8.50005-9.</w:t>
      </w:r>
      <w:r w:rsidRPr="006A6C13">
        <w:rPr>
          <w:rFonts w:ascii="Garamond" w:hAnsi="Garamond" w:cstheme="majorBidi"/>
          <w:sz w:val="20"/>
          <w:szCs w:val="20"/>
        </w:rPr>
        <w:fldChar w:fldCharType="end"/>
      </w:r>
    </w:p>
  </w:footnote>
  <w:footnote w:id="39">
    <w:p w14:paraId="4BB33DA1"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{"citationID":"XHakItGW","properties":{"formattedCitation":"Robi Sugara and Maria Ulfa, \\uc0\\u8220{}Implementasi Kebijakan Publik dalam Penanganan Covid-19 melalui Pendekatan Keagamaan\\uc0\\u8239{}: Public Policy Implementation in Handling Covid-19 through a Religious Approach,\\uc0\\u8221{} {\\i{}Jurnal Bimas Islam} 14, no. 1 (2021): 1, https://doi.org/10.37302/jbi.v14i1.361.","plainCitation":"Robi Sugara and Maria Ulfa, “Implementasi Kebijakan Publik dalam Penanganan Covid-19 melalui Pendekatan Keagamaan</w:instrText>
      </w:r>
      <w:r w:rsidRPr="006A6C13">
        <w:rPr>
          <w:rFonts w:ascii="Times New Roman"/>
          <w:sz w:val="20"/>
          <w:szCs w:val="20"/>
        </w:rPr>
        <w:instrText> </w:instrText>
      </w:r>
      <w:r w:rsidRPr="006A6C13">
        <w:rPr>
          <w:rFonts w:ascii="Garamond" w:hAnsi="Garamond" w:cstheme="majorBidi"/>
          <w:sz w:val="20"/>
          <w:szCs w:val="20"/>
        </w:rPr>
        <w:instrText>: Public Policy Implementation in Handling Covid-19 through a Religious Approach,</w:instrText>
      </w:r>
      <w:r w:rsidRPr="006A6C13">
        <w:rPr>
          <w:rFonts w:ascii="Garamond" w:hAnsi="Garamond" w:cs="Garamond"/>
          <w:sz w:val="20"/>
          <w:szCs w:val="20"/>
        </w:rPr>
        <w:instrText>”</w:instrText>
      </w:r>
      <w:r w:rsidRPr="006A6C13">
        <w:rPr>
          <w:rFonts w:ascii="Garamond" w:hAnsi="Garamond" w:cstheme="majorBidi"/>
          <w:sz w:val="20"/>
          <w:szCs w:val="20"/>
        </w:rPr>
        <w:instrText xml:space="preserve"> Jurnal Bimas Islam 14, no. 1 (2021): 1, https://doi.org/10.37302/jbi.v14i1.361.","noteIndex":39},"citationItems":[{"id":67,"uris":["http://zotero.org/users/17696806/items/UBKGH7FN"],"itemData":{"id":67,"type":"article-journal","abstract":"This article discusses the implementation of the Indonesian government's public policies in handling Covid-19 through a religious approach, especially through Islamic councelors. The purpose of this study is to explain the implementation of government policies in handling Covid-19 from the religious aspect carried out by Islamic councelors in Indonesia. This descriptive-analytical qualitative research uses videos published by Islamic councelors related to the handling of Covid-19 on Youtube media in April 2020 - March 2021 as the main source. Data analysis uses inductive method with the perspective of public policy implementation. The results of this study show that the implementation of the Indonesian government's policies regarding the handling of Covid-19, especially with a religious approach through Islamic councelors, has so far been carried out with various activities and socialization offline and online including through Youtube videos from various regions in Indonesia. The implementations of the Covid-19 handling policy carried out by Islamic councelors have covered basic matters based on several existing policies. The works of Islamic councelors have greatly contributed to the handling of Covid-19 in the field of religious matters, however Islamic councelors still need encouragement from the government to enhance the capacity to use social media, digital technology, media literacy, and digital literacy to reach wider benefits particularly during the pandemic.","container-title":"Jurnal Bimas Islam","DOI":"10.37302/jbi.v14i1.361","ISSN":"2657-1188","issue":"1","language":"id","license":"Copyright (c) 2021","note":"number: 1","page":"103-132","source":"jurnalbimasislam.kemenag.go.id","title":"Implementasi Kebijakan Publik dalam Penanganan Covid-19 melalui Pendekatan Keagamaan : Public Policy Implementation in Handling Covid-19 through a Religious Approach","title-short":"Implementasi Kebijakan Publik dalam Penanganan Covid-19 melalui Pendekatan Keagamaan","volume":"14","author":[{"family":"Sugara","given":"Robi"},{"family":"Ulfa","given":"Maria"}],"issued":{"date-parts":[["2021",7,29]]}}}],"schema":"https://github.com/citation-style-language/schema/raw/master/csl-citation.json"}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Robi Sugara and Maria Ulfa, “Implementation of Public Policy in Handling Covid-19 through a Religious Approach: Public Policy Implementation in Handling Covid-19 through a Religious Approach,” </w:t>
      </w:r>
      <w:r w:rsidRPr="006A6C13">
        <w:rPr>
          <w:rFonts w:ascii="Garamond" w:hAnsi="Garamond" w:cstheme="majorBidi"/>
          <w:i/>
          <w:iCs/>
          <w:kern w:val="0"/>
          <w:sz w:val="20"/>
          <w:szCs w:val="20"/>
        </w:rPr>
        <w:t>Journal of Islamic Studies</w:t>
      </w:r>
      <w:r w:rsidRPr="006A6C13">
        <w:rPr>
          <w:rFonts w:ascii="Garamond" w:hAnsi="Garamond" w:cstheme="majorBidi"/>
          <w:kern w:val="0"/>
          <w:sz w:val="20"/>
          <w:szCs w:val="20"/>
        </w:rPr>
        <w:t xml:space="preserve"> 14, no. 1 (2021): 1, https://doi.org/10.37302/jbi.v14i1.361.</w:t>
      </w:r>
      <w:r w:rsidRPr="006A6C13">
        <w:rPr>
          <w:rFonts w:ascii="Garamond" w:hAnsi="Garamond" w:cstheme="majorBidi"/>
          <w:sz w:val="20"/>
          <w:szCs w:val="20"/>
        </w:rPr>
        <w:fldChar w:fldCharType="end"/>
      </w:r>
    </w:p>
  </w:footnote>
  <w:footnote w:id="40">
    <w:p w14:paraId="365034A3"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{"citationID":"Njmw5aZJ","properties":{"formattedCitation":"Marco Siino, \\uc0\\u8220{}Exploring the Use of LLMs in the Italian Legal Domain: A Survey on Recent Applications,\\uc0\\u8221{} {\\i{}Computer Law &amp; Security Review} 58 (September 2025): 106164, https://doi.org/10.1016/j.clsr.2025.106164.","plainCitation":"Marco Siino, “Exploring the Use of LLMs in the Italian Legal Domain: A Survey on Recent Applications,” Computer Law &amp; Security Review 58 (September 2025): 106164, https://doi.org/10.1016/j.clsr.2025.106164.","noteIndex":40},"citationItems":[{"id":97,"uris":["http://zotero.org/users/17696806/items/BHLCGIUC"],"itemData":{"id":97,"type":"article-journal","abstract":"This article delves into recent applications of Transformers (also, Large Language Models or LLMs) in the context of the Italian legal language. The impressive speed at which the literature in this domain has recently grown (i.e., in 2022 and 2023) is proved by the number of related works that we collected in this study. The focus of this work is on exploring how LLMs are being utilized within the framework of Italian law. In detail, we first introduce the tasks that have been addressed in the Italian legal domain. When introducing the tasks, to motivate and to provide the most relevant works, we reference worldwide literature. After introducing the tasks, we report and discuss all the existent applications to these tasks, specifically in the Italian legal domain. Through this work, we intend to deliver the state of the art in LLM applications in the Italian legal domain to researchers as well as practising attorneys.","container-title":"Computer Law &amp; Security Review","DOI":"10.1016/j.clsr.2025.106164","ISSN":"2212-473X","journalAbbreviation":"Computer Law &amp; Security Review","page":"106164","source":"ScienceDirect","title":"Exploring the use of LLMs in the Italian legal domain: A survey on recent applications","title-short":"Exploring the use of LLMs in the Italian legal domain","volume":"58","author":[{"family":"Siino","given":"Marco"}],"issued":{"date-parts":[["2025",9,1]]}}}],"schema":"https://github.com/citation-style-language/schema/raw/master/csl-citation.json"}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Marco Siino, “Exploring the Use of LLMs in the Italian Legal Domain: A Survey on Recent Applications,” </w:t>
      </w:r>
      <w:r w:rsidRPr="006A6C13">
        <w:rPr>
          <w:rFonts w:ascii="Garamond" w:hAnsi="Garamond" w:cstheme="majorBidi"/>
          <w:i/>
          <w:iCs/>
          <w:kern w:val="0"/>
          <w:sz w:val="20"/>
          <w:szCs w:val="20"/>
        </w:rPr>
        <w:t>Computer Law &amp; Security Review</w:t>
      </w:r>
      <w:r w:rsidRPr="006A6C13">
        <w:rPr>
          <w:rFonts w:ascii="Garamond" w:hAnsi="Garamond" w:cstheme="majorBidi"/>
          <w:kern w:val="0"/>
          <w:sz w:val="20"/>
          <w:szCs w:val="20"/>
        </w:rPr>
        <w:t xml:space="preserve"> 58 (September 2025): 106164, https://doi.org/10.1016/j.clsr.2025.106164.</w:t>
      </w:r>
      <w:r w:rsidRPr="006A6C13">
        <w:rPr>
          <w:rFonts w:ascii="Garamond" w:hAnsi="Garamond" w:cstheme="majorBidi"/>
          <w:sz w:val="20"/>
          <w:szCs w:val="20"/>
        </w:rPr>
        <w:fldChar w:fldCharType="end"/>
      </w:r>
    </w:p>
  </w:footnote>
  <w:footnote w:id="41">
    <w:p w14:paraId="3E002150"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{"citationID":"p3rERB4w","properties":{"formattedCitation":"Abdur Rahman Adi Saputera, \\uc0\\u8220{}Kontribusi MUI Provinsi Gorontalo Terhadap Kemaslahatan Umat Pada Masa Pandemi Covid-19,\\uc0\\u8221{} {\\i{}Tamaddun Journal of Islamic Studies} 1, no. 1 (2022): 1, https://doi.org/10.55657/tajis.v1i1.26.","plainCitation":"Abdur Rahman Adi Saputera, “Kontribusi MUI Provinsi Gorontalo Terhadap Kemaslahatan Umat Pada Masa Pandemi Covid-19,” Tamaddun Journal of Islamic Studies 1, no. 1 (2022): 1, https://doi.org/10.55657/tajis.v1i1.26.","noteIndex":41},"citationItems":[{"id":69,"uris":["http://zotero.org/users/17696806/items/X2VYAUJY"],"itemData":{"id":69,"type":"article-journal","abstract":"This research aims to investigate the various dynamics and contributions of the Gorontalo Province MUI in creating the benefit of the people at the beginning of the epidemic of the Covid-19 virus. Comprehensively, this study used the Mix Method, because it consisted of Field Research and applied Library Research in analyzing the secondary data formulation. The research was conducted in Gorontalo Province. The stages of processing and analyzing data by the author were through: Editing, Classification, Verification, Analysis and Conclusion-Verification Withdrawal. The results showed that: 1) At the beginning of the pandemic, which was accompanied by the issued of the Central MUI Fatwa No. 14/2020 in Gorontalo, turned out to be a lot of controversy and conflict 2) Finally, the Gorontalo Province MUI issued Tausyiah Ramadhan to establish the validity and influence of the application of the Central MUI Fatwa, 3) With the Government, the Gorontalo Province MUI invites all the people to increase their sense of solidarity and mutual help, and develop social sensitivity to the surrounding environment and communities affected by the pandemic, then 4) Prepare a number of volunteers who have done for some training and coaching process, to engage in virtual religious assistance for positive patients during isolation at the Hajj Mess or at the Aloe Saboe Hospital, and 5) Become a consultant for people who ask questions about the process of taking care of the covid-19 remains, as well as all things that are inter-correlated with the problems of the people during pandemic.","container-title":"Tamaddun Journal of Islamic Studies","DOI":"10.55657/tajis.v1i1.26","ISSN":"2828-8041","issue":"1","language":"en","license":"Copyright (c) 2022 Abdur Rahman Adi Saputera","note":"number: 1","page":"49-69","source":"journal.scimadly.com","title":"Kontribusi MUI Provinsi Gorontalo terhadap Kemaslahatan Umat pada Masa Pandemi Covid-19","volume":"1","author":[{"family":"Saputera","given":"Abdur Rahman Adi"}],"issued":{"date-parts":[["2022",3,16]]}}}],"schema":"https://github.com/citation-style-language/schema/raw/master/csl-citation.json"}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Abdur Rahman Adi Saputera, “The Contribution of the Gorontalo Provincial MUI to the Welfare of the People During the Covid-19 Pandemic,” </w:t>
      </w:r>
      <w:r w:rsidRPr="006A6C13">
        <w:rPr>
          <w:rFonts w:ascii="Garamond" w:hAnsi="Garamond" w:cstheme="majorBidi"/>
          <w:i/>
          <w:iCs/>
          <w:kern w:val="0"/>
          <w:sz w:val="20"/>
          <w:szCs w:val="20"/>
        </w:rPr>
        <w:t>Tamaddun Journal of Islamic Studies</w:t>
      </w:r>
      <w:r w:rsidRPr="006A6C13">
        <w:rPr>
          <w:rFonts w:ascii="Garamond" w:hAnsi="Garamond" w:cstheme="majorBidi"/>
          <w:kern w:val="0"/>
          <w:sz w:val="20"/>
          <w:szCs w:val="20"/>
        </w:rPr>
        <w:t xml:space="preserve"> 1, no. 1 (2022): 1, https://doi.org/10.55657/tajis.v1i1.26.</w:t>
      </w:r>
      <w:r w:rsidRPr="006A6C13">
        <w:rPr>
          <w:rFonts w:ascii="Garamond" w:hAnsi="Garamond" w:cstheme="majorBidi"/>
          <w:sz w:val="20"/>
          <w:szCs w:val="20"/>
        </w:rPr>
        <w:fldChar w:fldCharType="end"/>
      </w:r>
    </w:p>
  </w:footnote>
  <w:footnote w:id="42">
    <w:p w14:paraId="260ADA92"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{"citationID":"jQm7jR9v","properties":{"formattedCitation":"W. Jerry Chisum, \\uc0\\u8220{}Appendix II - Bloodstain Pattern Case Study,\\uc0\\u8221{} in {\\i{}Crime Reconstruction (Second Edition)}, ed. W. Jerry Chisum and Brent E. Turvey (Academic Press, 2011), https://doi.org/10.1016/B978-0-12-386460-4.00025-4.","plainCitation":"W. Jerry Chisum, “Appendix II - Bloodstain Pattern Case Study,” in Crime Reconstruction (Second Edition), ed. W. Jerry Chisum and Brent E. Turvey (Academic Press, 2011), https://doi.org/10.1016/B978-0-12-386460-4.00025-4.","noteIndex":42},"citationItems":[{"id":99,"uris":["http://zotero.org/users/17696806/items/FW5RADXA"],"itemData":{"id":99,"type":"chapter","container-title":"Crime Reconstruction (Second Edition)","event-place":"San Diego","ISBN":"978-0-12-386460-4","note":"DOI: 10.1016/B978-0-12-386460-4.00025-4","page":"e28-e34","publisher":"Academic Press","publisher-place":"San Diego","source":"ScienceDirect","title":"Appendix II - Bloodstain Pattern Case Study","URL":"https://www.sciencedirect.com/science/article/pii/B9780123864604000254","author":[{"family":"Chisum","given":"W. Jerry"}],"editor":[{"family":"Chisum","given":"W. Jerry"},{"family":"Turvey","given":"Brent E."}],"accessed":{"date-parts":[["2025",8,6]]},"issued":{"date-parts":[["2011",1,1]]}}}],"schema":"https://github.com/citation-style-language/schema/raw/master/csl-citation.json"}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W . Jerry Chisum, “Appendix II - Bloodstain Pattern Case Study,” in </w:t>
      </w:r>
      <w:r w:rsidRPr="006A6C13">
        <w:rPr>
          <w:rFonts w:ascii="Garamond" w:hAnsi="Garamond" w:cstheme="majorBidi"/>
          <w:i/>
          <w:iCs/>
          <w:kern w:val="0"/>
          <w:sz w:val="20"/>
          <w:szCs w:val="20"/>
        </w:rPr>
        <w:t xml:space="preserve">Crime Reconstruction (Second Edition), </w:t>
      </w:r>
      <w:r w:rsidRPr="006A6C13">
        <w:rPr>
          <w:rFonts w:ascii="Garamond" w:hAnsi="Garamond" w:cstheme="majorBidi"/>
          <w:kern w:val="0"/>
          <w:sz w:val="20"/>
          <w:szCs w:val="20"/>
        </w:rPr>
        <w:t>ed. W. Jerry Chisum and Brent E. Turvey (Academic Press, 2011), https://doi.org/10.1016/B978-0-12-386460-4.00025-4.</w:t>
      </w:r>
      <w:r w:rsidRPr="006A6C13">
        <w:rPr>
          <w:rFonts w:ascii="Garamond" w:hAnsi="Garamond" w:cstheme="majorBidi"/>
          <w:sz w:val="20"/>
          <w:szCs w:val="20"/>
        </w:rPr>
        <w:fldChar w:fldCharType="end"/>
      </w:r>
    </w:p>
  </w:footnote>
  <w:footnote w:id="43">
    <w:p w14:paraId="2149EEC7"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{"citationID":"SrzL3VHE","properties":{"formattedCitation":"Rahman Rahman et al., \\uc0\\u8220{}Hadith Interpretation of Law and Justice and Its Implementation as an Alternative Solution Rule of Law Enforcement In Indonesian,\\uc0\\u8221{} {\\i{}Muslim Heritage} 8, no. 2 (2023): 2, https://doi.org/10.21154/muslimheritage.v8i2.7214.","plainCitation":"Rahman Rahman et al., “Hadith Interpretation of Law and Justice and Its Implementation as an Alternative Solution Rule of Law Enforcement In Indonesian,” Muslim Heritage 8, no. 2 (2023): 2, https://doi.org/10.21154/muslimheritage.v8i2.7214.","noteIndex":43},"citationItems":[{"id":87,"uris":["http://zotero.org/users/17696806/items/NE5FJKNM"],"itemData":{"id":87,"type":"article-journal","abstract":"AbstractThis article wants to explain the interpretation of hadith on law and justice and its implementation as an alternative solution to upholding the supremacy of law in Indonesia. This aims to address the social gap in law enforcement in Indonesia which is characterized by the increasing number of law violations due to a lack of firmness in law enforcement itself. This research is library research, namely library research, because all primary data is written data, especially those related to the Prophet's hadith about law and justice and their interpretation in the context of upholding the supremacy of law in Indonesia. The main sources are hadith books which are also featured in other cases relevant to the research. The results of this research indicate that the Prophet's hadith regarding law and justice can be implemented in the context of law enforcement in Indonesia because law enforcement during the time of the Prophet as described in the Prophet's hadith contained the principles of justice in society. When a crime is committed by a lawbreaker, the law can treat it as fairly as possible. AbstrakArtikel ini ingin menjelaskan tafsir hadis hukum dan keadilan serta implementasinya sebagai alternatif solusi tegaknya supremasi hukum di Indonesia. Hal ini bertujuan untuk menjawab kesenjangan sosial dalam penegakan hukum di Indonesia yang ditandai dengan semakin banyaknya pelanggaran hukum akibat kurangnya ketegasan dalam penegakan hukum itu sendiri. Penelitian ini merupakan penelitian kepustakaan yaitu penelitian kepustakaan, karena seluruh data primernya merupakan data tertulis, khususnya yang berkaitan dengan hadis Nabi tentang hukum dan keadilan serta penafsirannya dalam rangka penegakan supremasi hukum di Indonesia. Sumber utamanya adalah kitab-kitab hadis yang juga ditampilkan dalam kasus-kasus lain yang relevan dengan penelitian. Hasil penelitian ini menunjukkan bahwa hadis Nabi tentang hukum dan keadilan dapat diimplementasikan dalam konteks penegakan hukum di Indonesia karena penegakan hukum pada masa Nabi yang telah dijelaskan dalam hadis Nabi mengandung prinsip-prinsip keadilan di tengah-tengah masyarakat. ketika suatu kejahatan terjadi dilakukan oleh pelanggar hukum, maka hukum itu dapat memperlakukan dengan seadil-adilnya","container-title":"Muslim Heritage","DOI":"10.21154/muslimheritage.v8i2.7214","ISSN":"2502-5341","issue":"2","language":"en","license":"Copyright (c) 2023 Muslim Heritage","note":"number: 2","page":"293-308","source":"jurnal.iainponorogo.ac.id","title":"Hadith Interpretation of Law and Justice and Its Implementation as an Alternative Solution Rule of Law Enforcement In Indonesian","volume":"8","author":[{"family":"Rahman","given":"Rahman"},{"family":"Sugianto","given":"Efendi"},{"family":"Wasalmi","given":"Wasalmi"},{"family":"Asriady","given":"Muhammad"},{"family":"Fauzi","given":"Ahmad"}],"issued":{"date-parts":[["2023",12,18]]}}}],"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Rahman Rahman et al., “Hadith Interpretation of Law and Justice and Its Implementation as an Alternative Solution Rule of Law Enforcement In Indonesian,” </w:t>
      </w:r>
      <w:r w:rsidRPr="006A6C13">
        <w:rPr>
          <w:rFonts w:ascii="Garamond" w:hAnsi="Garamond" w:cstheme="majorBidi"/>
          <w:i/>
          <w:iCs/>
          <w:kern w:val="0"/>
          <w:sz w:val="20"/>
          <w:szCs w:val="20"/>
        </w:rPr>
        <w:t>Muslim Heritage</w:t>
      </w:r>
      <w:r w:rsidRPr="006A6C13">
        <w:rPr>
          <w:rFonts w:ascii="Garamond" w:hAnsi="Garamond" w:cstheme="majorBidi"/>
          <w:kern w:val="0"/>
          <w:sz w:val="20"/>
          <w:szCs w:val="20"/>
        </w:rPr>
        <w:t xml:space="preserve"> 8, no. 2 (2023): 2, https://doi.org/10.21154/muslimheritage.v8i2.7214.</w:t>
      </w:r>
      <w:r w:rsidRPr="006A6C13">
        <w:rPr>
          <w:rFonts w:ascii="Garamond" w:hAnsi="Garamond" w:cstheme="majorBidi"/>
          <w:sz w:val="20"/>
          <w:szCs w:val="20"/>
        </w:rPr>
        <w:fldChar w:fldCharType="end"/>
      </w:r>
    </w:p>
  </w:footnote>
  <w:footnote w:id="44">
    <w:p w14:paraId="2C5A18C4"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{"citationID":"30LixwP2","properties":{"formattedCitation":"Imam Yahya and Sulistiyono Susilo, \\uc0\\u8220{}Conservative Muslims in Indonesia\\uc0\\u8217{}s Religious and Political Landscapes: Ahok\\uc0\\u8217{}s Blasphemy Case as a Political Leverage,\\uc0\\u8221{} {\\i{}Cogent Social Sciences}, Cogent, December 31, 2024, world, https://www.tandfonline.com/doi/abs/10.1080/23311886.2024.2392293.","plainCitation":"Imam Yahya and Sulistiyono Susilo, “Conservative Muslims in Indonesia’s Religious and Political Landscapes: Ahok’s Blasphemy Case as a Political Leverage,” Cogent Social Sciences, Cogent, December 31, 2024, world, https://www.tandfonline.com/doi/abs/10.1080/23311886.2024.2392293.","noteIndex":44},"citationItems":[{"id":364,"uris":["http://zotero.org/users/17696806/items/ZU7H6IHQ"],"itemData":{"id":364,"type":"article-journal","abstract":"This study aims to examine how Islamist groups employ the fatwas issued by the Majelis Ulama Indonesia/MUI (Indonesian Ulema Council) as a means of political leverage. Specifically, the analysis is...","archive_location":"world","container-title":"Cogent Social Sciences","ISSN":"2331-1886","language":"EN","license":"© 2024 The Author(s). Published by Informa UK Limited, trading as Taylor &amp; Francis Group","note":"publisher: Cogent","source":"www.tandfonline.com","title":"Conservative Muslims in Indonesia’s religious and political landscapes: Ahok’s blasphemy case as a political leverage","title-short":"Conservative Muslims in Indonesia’s religious and political landscapes","URL":"https://www.tandfonline.com/doi/abs/10.1080/23311886.2024.2392293","author":[{"family":"Yahya","given":"Imam"},{"family":"Susilo","given":"Sulistiyono"}],"accessed":{"date-parts":[["2025",10,1]]},"issued":{"date-parts":[["2024",12,31]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Imam Yahya and Sulistiyono Susilo, “Conservative Muslims in Indonesia’s Religious and Political Landscapes: Ahok’s Blasphemy Case as a Political Leverage,” </w:t>
      </w:r>
      <w:r w:rsidRPr="006A6C13">
        <w:rPr>
          <w:rFonts w:ascii="Garamond" w:hAnsi="Garamond" w:cstheme="majorBidi"/>
          <w:i/>
          <w:iCs/>
          <w:sz w:val="20"/>
          <w:szCs w:val="20"/>
        </w:rPr>
        <w:t xml:space="preserve">Cogent Social Sciences, </w:t>
      </w:r>
      <w:r w:rsidRPr="006A6C13">
        <w:rPr>
          <w:rFonts w:ascii="Garamond" w:hAnsi="Garamond" w:cstheme="majorBidi"/>
          <w:sz w:val="20"/>
          <w:szCs w:val="20"/>
        </w:rPr>
        <w:t>Cogent, December 31, 2024, world, https://www.tandfonline.com/doi/abs/10.1080/23311886.2024.2392293.</w:t>
      </w:r>
      <w:r w:rsidRPr="006A6C13">
        <w:rPr>
          <w:rFonts w:ascii="Garamond" w:hAnsi="Garamond" w:cstheme="majorBidi"/>
          <w:sz w:val="20"/>
          <w:szCs w:val="20"/>
        </w:rPr>
        <w:fldChar w:fldCharType="end"/>
      </w:r>
    </w:p>
  </w:footnote>
  <w:footnote w:id="45">
    <w:p w14:paraId="1774F431"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{"citationID":"1cRFGHoY","properties":{"formattedCitation":"Muhammad Turhan Yani et al., \\uc0\\u8220{}Advancing the Discourse of Muslim Politics in Indonesia: A Study on Political Orientation of Kiai as Religious Elites in Nahdlatul Ulama,\\uc0\\u8221{} {\\i{}Heliyon} 8, no. 12 (2022): e12218, https://doi.org/10.1016/j.heliyon.2022.e12218.","plainCitation":"Muhammad Turhan Yani et al., “Advancing the Discourse of Muslim Politics in Indonesia: A Study on Political Orientation of Kiai as Religious Elites in Nahdlatul Ulama,” Heliyon 8, no. 12 (2022): e12218, https://doi.org/10.1016/j.heliyon.2022.e12218.","noteIndex":45},"citationItems":[{"id":366,"uris":["http://zotero.org/users/17696806/items/7WIQ3KWS"],"itemData":{"id":366,"type":"article-journal","abstract":"The present study was designed to investigate the political interactions of Kiai of Nahdlatul Ulama (NU) in the national political arena and its current impact on the Indonesian Muslim community. The data were garnered through interviews and focus group discussions with Kiai and related parties. The results of the study suggest that the political orientation of the Kiai of NU in Indonesia is oriented to pragmatism and oriented to piety idealism in politics based on Islamic ethics. The Kiai, as a symbol of religious leaders, is expected to lead the Muslim community on a political path that is valuable and morally based. The phenomenon of Kiai interaction in practical politics is a significant leap and break that should be translated into a more comprehensive political perspective on social and historical aspects. The study findings implicate that Kiai as a religious figure, should be put on the front row for Indonesian political discourses among Nahdlatul Ulama followers., Muslim politics; Kiai; Political orientation; Religious elite; Nahdlatul Ulama; Indonesian Muslims.","container-title":"Heliyon","DOI":"10.1016/j.heliyon.2022.e12218","ISSN":"2405-8440","issue":"12","journalAbbreviation":"Heliyon","note":"PMID: 36544840\nPMCID: PMC9761702","page":"e12218","source":"PubMed Central","title":"Advancing the discourse of Muslim politics in Indonesia: A study on political orientation of Kiai as religious elites in Nahdlatul Ulama","title-short":"Advancing the discourse of Muslim politics in Indonesia","volume":"8","author":[{"family":"Yani","given":"Muhammad Turhan"},{"family":"Mahfud","given":"Choirul"},{"family":"Rangga Sa'adillah","given":"S.A.P."},{"family":"Bustami","given":"Mohammad Reevany"},{"family":"Maskuri","given":""},{"family":"Taufiq","given":"Ahmad"}],"issued":{"date-parts":[["2022",12,9]]}}}],"schema":"https://github.com/citation-style-language/schema/raw/master/csl-citation.json"}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Muhammad Turhan Yani et al., “Advancing the Discourse of Muslim Politics in Indonesia: A Study on Political Orientation of Kiai as Religious Elites in Nahdlatul Ulama,” </w:t>
      </w:r>
      <w:r w:rsidRPr="006A6C13">
        <w:rPr>
          <w:rFonts w:ascii="Garamond" w:hAnsi="Garamond" w:cstheme="majorBidi"/>
          <w:i/>
          <w:iCs/>
          <w:sz w:val="20"/>
          <w:szCs w:val="20"/>
        </w:rPr>
        <w:t>Heliyon</w:t>
      </w:r>
      <w:r w:rsidRPr="006A6C13">
        <w:rPr>
          <w:rFonts w:ascii="Garamond" w:hAnsi="Garamond" w:cstheme="majorBidi"/>
          <w:sz w:val="20"/>
          <w:szCs w:val="20"/>
        </w:rPr>
        <w:t xml:space="preserve"> 8, no. 12 (2022): e12218, https://doi.org/10.1016/j.heliyon.2022.e12218.</w:t>
      </w:r>
      <w:r w:rsidRPr="006A6C13">
        <w:rPr>
          <w:rFonts w:ascii="Garamond" w:hAnsi="Garamond" w:cstheme="majorBidi"/>
          <w:sz w:val="20"/>
          <w:szCs w:val="20"/>
        </w:rPr>
        <w:fldChar w:fldCharType="end"/>
      </w:r>
    </w:p>
  </w:footnote>
  <w:footnote w:id="46">
    <w:p w14:paraId="7CC8BF3C"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{"citationID":"0d8ZeoiV","properties":{"formattedCitation":"Soleh Hasan Wahid et al., \\uc0\\u8220{}Strengthening the Trust and Authority of Fatwa Institutions in the Digital Era: Lessons from Indonesia,\\uc0\\u8221{} {\\i{}Journal of College of Sharia and Islamic Studies} 43, no. 2 (2025), https://doi.org/10.29117/jcsis.2025.0425.","plainCitation":"Soleh Hasan Wahid et al., “Strengthening the Trust and Authority of Fatwa Institutions in the Digital Era: Lessons from Indonesia,” Journal of College of Sharia and Islamic Studies 43, no. 2 (2025), https://doi.org/10.29117/jcsis.2025.0425.","noteIndex":46},"citationItems":[{"id":371,"uris":["http://zotero.org/users/17696806/items/7NRCZSTX"],"itemData":{"id":371,"type":"article-journal","abstract":"</w:instrText>
      </w:r>
      <w:r w:rsidRPr="006A6C13">
        <w:rPr>
          <w:rFonts w:ascii="Garamond" w:hAnsi="Garamond" w:cstheme="majorBidi"/>
          <w:sz w:val="20"/>
          <w:szCs w:val="20"/>
          <w:rtl/>
        </w:rPr>
        <w:instrText>أهداف البحث: يستكشف هذا البحث كيف تؤثر المنصات الرقمية، وخاصة يوتيوب، على تصورات الجمهور وثقتهم في الفتاوى الصادرة عن مؤسسات مثل المجلس العلمي الإندونيسي</w:instrText>
      </w:r>
      <w:r w:rsidRPr="006A6C13">
        <w:rPr>
          <w:rFonts w:ascii="Garamond" w:hAnsi="Garamond" w:cstheme="majorBidi"/>
          <w:sz w:val="20"/>
          <w:szCs w:val="20"/>
        </w:rPr>
        <w:instrText xml:space="preserve"> (MUI) </w:instrText>
      </w:r>
      <w:r w:rsidRPr="006A6C13">
        <w:rPr>
          <w:rFonts w:ascii="Garamond" w:hAnsi="Garamond" w:cstheme="majorBidi"/>
          <w:sz w:val="20"/>
          <w:szCs w:val="20"/>
          <w:rtl/>
        </w:rPr>
        <w:instrText>في عالم متزايد الرقمية. يركز بشكل خاص على فتاوى</w:instrText>
      </w:r>
      <w:r w:rsidRPr="006A6C13">
        <w:rPr>
          <w:rFonts w:ascii="Garamond" w:hAnsi="Garamond" w:cstheme="majorBidi"/>
          <w:sz w:val="20"/>
          <w:szCs w:val="20"/>
        </w:rPr>
        <w:instrText xml:space="preserve"> MUI </w:instrText>
      </w:r>
      <w:r w:rsidRPr="006A6C13">
        <w:rPr>
          <w:rFonts w:ascii="Garamond" w:hAnsi="Garamond" w:cstheme="majorBidi"/>
          <w:sz w:val="20"/>
          <w:szCs w:val="20"/>
          <w:rtl/>
        </w:rPr>
        <w:instrText>حول العملات المشفرة والتطعيمات ومقاطعة المنتجات الإسرائيلية، مقيمًا تأثير النشر الرقمي على هذه الأحكام الدينية</w:instrText>
      </w:r>
      <w:r w:rsidRPr="006A6C13">
        <w:rPr>
          <w:rFonts w:ascii="Garamond" w:hAnsi="Garamond" w:cstheme="majorBidi"/>
          <w:sz w:val="20"/>
          <w:szCs w:val="20"/>
        </w:rPr>
        <w:instrText>.\n</w:instrText>
      </w:r>
      <w:r w:rsidRPr="006A6C13">
        <w:rPr>
          <w:rFonts w:ascii="Garamond" w:hAnsi="Garamond" w:cstheme="majorBidi"/>
          <w:sz w:val="20"/>
          <w:szCs w:val="20"/>
          <w:rtl/>
        </w:rPr>
        <w:instrText>منهج البحث: يستخدم البحث تحليل المحتوى النوعي باستخدام</w:instrText>
      </w:r>
      <w:r w:rsidRPr="006A6C13">
        <w:rPr>
          <w:rFonts w:ascii="Garamond" w:hAnsi="Garamond" w:cstheme="majorBidi"/>
          <w:sz w:val="20"/>
          <w:szCs w:val="20"/>
        </w:rPr>
        <w:instrText xml:space="preserve"> QSR NVivo 12</w:instrText>
      </w:r>
      <w:r w:rsidRPr="006A6C13">
        <w:rPr>
          <w:rFonts w:ascii="Garamond" w:hAnsi="Garamond" w:cstheme="majorBidi"/>
          <w:sz w:val="20"/>
          <w:szCs w:val="20"/>
          <w:rtl/>
        </w:rPr>
        <w:instrText>، مركزًا على العناصر العاطفية والموضوعية في مناقشات يوتيوب. تتضمن المنهجية تشفير المشاعر لتقييم التصورات العامة وتشفير الموضوعات لاستكشاف دقائق النشر الرقمي وفهم الجمهور وثقته في التوجيه الديني عبر الإنترنت</w:instrText>
      </w:r>
      <w:r w:rsidRPr="006A6C13">
        <w:rPr>
          <w:rFonts w:ascii="Garamond" w:hAnsi="Garamond" w:cstheme="majorBidi"/>
          <w:sz w:val="20"/>
          <w:szCs w:val="20"/>
        </w:rPr>
        <w:instrText>.\n</w:instrText>
      </w:r>
      <w:r w:rsidRPr="006A6C13">
        <w:rPr>
          <w:rFonts w:ascii="Garamond" w:hAnsi="Garamond" w:cstheme="majorBidi"/>
          <w:sz w:val="20"/>
          <w:szCs w:val="20"/>
          <w:rtl/>
        </w:rPr>
        <w:instrText>النتائج: تشير التحليلات إلى سيادة المشاعر السلبية في المجتمع الإندونيسي عبر الإنترنت تجاه فتاوى</w:instrText>
      </w:r>
      <w:r w:rsidRPr="006A6C13">
        <w:rPr>
          <w:rFonts w:ascii="Garamond" w:hAnsi="Garamond" w:cstheme="majorBidi"/>
          <w:sz w:val="20"/>
          <w:szCs w:val="20"/>
        </w:rPr>
        <w:instrText xml:space="preserve"> MUI </w:instrText>
      </w:r>
      <w:r w:rsidRPr="006A6C13">
        <w:rPr>
          <w:rFonts w:ascii="Garamond" w:hAnsi="Garamond" w:cstheme="majorBidi"/>
          <w:sz w:val="20"/>
          <w:szCs w:val="20"/>
          <w:rtl/>
        </w:rPr>
        <w:instrText>حول اللقاحات والعملات المشفرة ومقاطعة المنتجات الإسرائيلية. تعكس هذه السلبية فجوة في فهم وقبول هذه الأحكام الدينية بين الجمهور العام. كما أن التباين في فهم مستخدمي الإنترنت للمفاهيم الدينية والاقتصادية يؤثر بشكل كبير على ردودهم على هذه الفتاوى. يسلط البحث الضوء على الحاجة إلى تعليم أوسع واستراتيجيات اتصال أكثر فعالية فيما يتعلق بالفتاوى، مؤكدًا على أهمية الشفافية والسياق</w:instrText>
      </w:r>
      <w:r w:rsidRPr="006A6C13">
        <w:rPr>
          <w:rFonts w:ascii="Garamond" w:hAnsi="Garamond" w:cstheme="majorBidi"/>
          <w:sz w:val="20"/>
          <w:szCs w:val="20"/>
        </w:rPr>
        <w:instrText>.\n</w:instrText>
      </w:r>
      <w:r w:rsidRPr="006A6C13">
        <w:rPr>
          <w:rFonts w:ascii="Garamond" w:hAnsi="Garamond" w:cstheme="majorBidi"/>
          <w:sz w:val="20"/>
          <w:szCs w:val="20"/>
          <w:rtl/>
        </w:rPr>
        <w:instrText>أصالة البحث: يؤكد البحث على أهمية توافق الفتاوى مع القضايا الاجتماعية والاقتصادية المعاصرة والسياق الثقافي في إندونيسيا. يقترح تعزيز القدرة والمصداقية لمؤسسات الفتوى في العصر الرقمي، مركزًا على تحسين القدرات التواصلية وزيادة المعرفة الدينية للحفاظ على صلة وفعالية الفتاوى في مواجهة التحديات الحديثة</w:instrText>
      </w:r>
      <w:r w:rsidRPr="006A6C13">
        <w:rPr>
          <w:rFonts w:ascii="Garamond" w:hAnsi="Garamond" w:cstheme="majorBidi"/>
          <w:sz w:val="20"/>
          <w:szCs w:val="20"/>
        </w:rPr>
        <w:instrText xml:space="preserve">.","container-title":"Journal of College of Sharia and Islamic Studies","DOI":"10.29117/jcsis.2025.0425","ISSN":"2523-1715","issue":"2","language":"en","license":"Copyright (c) 2025 Journal of College of Sharia and Islamic Studies","source":"journals.qu.edu.qa","title":"Strengthening the Trust and Authority of Fatwa Institutions in the Digital Era: Lessons from Indonesia","title-short":"Strengthening the Trust and Authority of Fatwa Institutions in the Digital Era","URL":"https://journals.qu.edu.qa/index.php/sharia/article/view/5203","volume":"43","author":[{"family":"Wahid","given":"Soleh Hasan"},{"family":"Kususiyanah","given":"Anjar"},{"family":"Abdullah","given":"Fuady"}],"accessed":{"date-parts":[["2025",10,1]]},"issued":{"date-parts":[["2025",7,15]]}}}],"schema":"https://github.com/citation-style-language/schema/raw/master/csl-citation.json"}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Soleh Hasan Wahid et al., “Strengthening the Trust and Authority of Fatwa Institutions in the Digital Era: Lessons from Indonesia,” </w:t>
      </w:r>
      <w:r w:rsidRPr="006A6C13">
        <w:rPr>
          <w:rFonts w:ascii="Garamond" w:hAnsi="Garamond" w:cstheme="majorBidi"/>
          <w:i/>
          <w:iCs/>
          <w:sz w:val="20"/>
          <w:szCs w:val="20"/>
        </w:rPr>
        <w:t>Journal of College of Sharia and Islamic Studies</w:t>
      </w:r>
      <w:r w:rsidRPr="006A6C13">
        <w:rPr>
          <w:rFonts w:ascii="Garamond" w:hAnsi="Garamond" w:cstheme="majorBidi"/>
          <w:sz w:val="20"/>
          <w:szCs w:val="20"/>
        </w:rPr>
        <w:t xml:space="preserve"> 43, no. 2 (2025), https://doi.org/10.29117/jcsis.2025.0425.</w:t>
      </w:r>
      <w:r w:rsidRPr="006A6C13">
        <w:rPr>
          <w:rFonts w:ascii="Garamond" w:hAnsi="Garamond" w:cstheme="majorBidi"/>
          <w:sz w:val="20"/>
          <w:szCs w:val="20"/>
        </w:rPr>
        <w:fldChar w:fldCharType="end"/>
      </w:r>
    </w:p>
  </w:footnote>
  <w:footnote w:id="47">
    <w:p w14:paraId="3C5D4CEB"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{"citationID":"sdKSstIU","properties":{"formattedCitation":"Andi Sani Silwana et al., \\uc0\\u8220{}Peran Fatwa dalam Pembentukan Perundang-Undangan di Indonesia,\\uc0\\u8221{} {\\i{}Al-Ubudiyah: Jurnal Pendidikan dan Studi Islam} 4, no. 1 (2023): 104\\uc0\\u8211{}10, https://doi.org/10.55623/au.v4i1.177.","plainCitation":"Andi Sani Silwana et al., “Peran Fatwa dalam Pembentukan Perundang-Undangan di Indonesia,” Al-Ubudiyah: Jurnal Pendidikan dan Studi Islam 4, no. 1 (2023): 104–10, https://doi.org/10.55623/au.v4i1.177.","noteIndex":47},"citationItems":[{"id":13,"uris":["http://zotero.org/users/17696806/items/LHFR38UJ"],"itemData":{"id":13,"type":"article-journal","abstract":"Penelitian ini bertujuan mengetahui Peran Fatwa Dalam Pembentukan Perundang-Undangan di Indonesia. Penelitian ini merupakan penelitian kepustakaan (library research) dengan pendekatan teologi normatif dan konseptual, hasil penelitian ini menunjukkan bahwa fatwa ulama merupakan hasil dari konfigurasi formulasi hukum Islam, Fatwa tersebut merupakan hasil dari ijtihad seorang mufti yang bertalian dengan persoalan   atau   masalah   yang   diperhadapkan   kepadanya. Fatwa   ulama   biasanya merupakan himbauan  dari  sekelompok  ulama  dan  terkadang  merupakan  seruan  ulama tertentu kepada  masyarakat  luas  atau  masyarakat  tertentu. Hasil  fatwa  ulama  di  Indonesia,  secara  nasional  dituangkan  dalam  bentuk  fatwa MUI (Majelis Ulama Indonesia) sejarah sejak berdirinya MUI sampai dengan sekarang telah banyak fatwa dan nasihat MUI sebagai produk pemikiran hukum Islam yang terserap dalam berbagai peraturan perundang-undangan.","container-title":"Al-Ubudiyah: Jurnal Pendidikan dan Studi Islam","DOI":"10.55623/au.v4i1.177","ISSN":"2809-7459, 2745-7796","issue":"1","journalAbbreviation":"AUJPSI","language":"id","license":"https://creativecommons.org/licenses/by-nc/4.0","page":"104-110","source":"DOI.org (Crossref)","title":"Peran Fatwa dalam Pembentukan Perundang-Undangan di Indonesia","volume":"4","author":[{"literal":"Andi Sani Silwana"},{"literal":"Kurniati"},{"literal":"Abd. Rahman R"}],"issued":{"date-parts":[["2023",6,13]]}}}],"schema":"https://github.com/citation-style-language/schema/raw/master/csl-citation.json"}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Andi Sani Silwana et al., “The Role of Fatwa in the Formation of Legislation in Indonesia,” </w:t>
      </w:r>
      <w:r w:rsidRPr="006A6C13">
        <w:rPr>
          <w:rFonts w:ascii="Garamond" w:hAnsi="Garamond" w:cstheme="majorBidi"/>
          <w:i/>
          <w:iCs/>
          <w:kern w:val="0"/>
          <w:sz w:val="20"/>
          <w:szCs w:val="20"/>
        </w:rPr>
        <w:t>Al-Ubudiyah: Journal of Islamic Education and Studies</w:t>
      </w:r>
      <w:r w:rsidRPr="006A6C13">
        <w:rPr>
          <w:rFonts w:ascii="Garamond" w:hAnsi="Garamond" w:cstheme="majorBidi"/>
          <w:kern w:val="0"/>
          <w:sz w:val="20"/>
          <w:szCs w:val="20"/>
        </w:rPr>
        <w:t xml:space="preserve"> 4, no. 1 (2023): 104–10, https://doi.org/10.55623/au.v4i1.177.</w:t>
      </w:r>
      <w:r w:rsidRPr="006A6C13">
        <w:rPr>
          <w:rFonts w:ascii="Garamond" w:hAnsi="Garamond" w:cstheme="majorBidi"/>
          <w:sz w:val="20"/>
          <w:szCs w:val="20"/>
        </w:rPr>
        <w:fldChar w:fldCharType="end"/>
      </w:r>
    </w:p>
  </w:footnote>
  <w:footnote w:id="48">
    <w:p w14:paraId="625CB168"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{"citationID":"x1byxfb1","properties":{"formattedCitation":"{\\i{}SKB 3 Menteri No. 3 Tahun 2008 \\uc0\\u8211{} Gerakan Ahmadiyah}, n.d., accessed August 6, 2025, https://ahmadiyah.org/skb-3-menteri-tentang-ahmadiyah/.","plainCitation":"SKB 3 Menteri No. 3 Tahun 2008 – Gerakan Ahmadiyah, n.d., accessed August 6, 2025, https://ahmadiyah.org/skb-3-menteri-tentang-ahmadiyah/.","noteIndex":48},"citationItems":[{"id":105,"uris":["http://zotero.org/users/17696806/items/X4T9RHWU"],"itemData":{"id":105,"type":"post-weblog","abstract":"KEPUTUSAN BERSAMA MENTERI AGAMA, JAKSA AGUNG, DAN MENTERI DALAM NEGERI REPUBLIK INDONESIA NOMOR : 3 Tahun 2008 NOMOR : KEP-033/A/JA/6/2008 NOMOR : 199 Tahun 2008 TENTANG PERINGATAN DAN PERINTAH KEPADA PENGANUT, ANGGOTA, DAN/ATAU ANGGOTA PENGURUS JEMAAT AHMADIYAH INDONESIA (JAI) DAN WARGA MASYARAKAT MENTERI AGAMA, JAKSA AGUNG, DAN MENTERI DALAM NEGERI REPUBLIK INDONESIA, Menimbang bahwa hak beragama…","language":"id","title":"SKB 3 Menteri No. 3 Tahun 2008 – Gerakan Ahmadiyah","URL":"https://ahmadiyah.org/skb-3-menteri-tentang-ahmadiyah/","accessed":{"date-parts":[["2025",8,6]]}}}],"schema":"https://github.com/citation-style-language/schema/raw/master/csl-citation.json"}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i/>
          <w:iCs/>
          <w:kern w:val="0"/>
          <w:sz w:val="20"/>
          <w:szCs w:val="20"/>
        </w:rPr>
        <w:t xml:space="preserve"> Joint Ministerial Decree No. 3 of 2008 – Ahmadiyah Movement, </w:t>
      </w:r>
      <w:r w:rsidRPr="006A6C13">
        <w:rPr>
          <w:rFonts w:ascii="Garamond" w:hAnsi="Garamond" w:cstheme="majorBidi"/>
          <w:kern w:val="0"/>
          <w:sz w:val="20"/>
          <w:szCs w:val="20"/>
        </w:rPr>
        <w:t>n.d., accessed August 6, 2025, https://ahmadiyah.org/skb-3-menteri-tentang-ahmadiyah/.</w:t>
      </w:r>
      <w:r w:rsidRPr="006A6C13">
        <w:rPr>
          <w:rFonts w:ascii="Garamond" w:hAnsi="Garamond" w:cstheme="majorBidi"/>
          <w:sz w:val="20"/>
          <w:szCs w:val="20"/>
        </w:rPr>
        <w:fldChar w:fldCharType="end"/>
      </w:r>
    </w:p>
  </w:footnote>
  <w:footnote w:id="49">
    <w:p w14:paraId="190EBB0D"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{"citationID":"qQu6iZmd","properties":{"formattedCitation":"Faiz Albar Nasution, \\uc0\\u8220{}Implications of Religious Fatwa on the Implementation of the COVID-19 Policy in Indonesia,\\uc0\\u8221{} {\\i{}Pharos Journal of Theology}, no. 104(3) (June 2023), https://doi.org/10.46222/pharosjot.104.320.","plainCitation":"Faiz Albar Nasution, “Implications of Religious Fatwa on the Implementation of the COVID-19 Policy in Indonesia,” Pharos Journal of Theology, no. 104(3) (June 2023), https://doi.org/10.46222/pharosjot.104.320.","noteIndex":49},"citationItems":[{"id":374,"uris":["http://zotero.org/users/17696806/items/RE54CHUX"],"itemData":{"id":374,"type":"article-journal","abstract":"This academic study has been conducted on the intricate interaction between religion and the state in Indonesia. Religion plays a significant role in how the state communicates its policy messages, which includes the COVID-19 policy in Indonesia. This study examines how state power dynamics and religious fatwas in the digital age affect Indonesia's adoption of the COVID-19 policy. A fatwa is a legal opinion or a decree which is passed down by an Islamic religious leader. The research methodology was carried out by looking at a wide range of relevant literature sources such as including books, academic journals, and already published research. The study results demonstrate that implementing government policies relating to the COVID-19 vaccine and the policy followed has produced a lobbying environment for developing power relationships between various role players. The interaction between the state's laws for addressing COVID-19 and the interests of religious organizations is often complicated and changes based on the nation involved and the specific situation that may be faced. The government has used the fatwa issued by the Indonesian Ulema Council to remedy several issues, including that faced during the COVID-19 pandemic. It is argued that in the current digital age, it is vital to allay any fears about the inconsistency of government policies toward religion and then there is also the possibility of fatwas to incite exclusivist views among some religious groups.","container-title":"Pharos Journal of Theology","DOI":"10.46222/pharosjot.104.320","ISSN":"2414-3324, 1018-9556","issue":"104(3)","journalAbbreviation":"pharosjot","language":"en","license":"https://creativecommons.org/licenses/by-nc-nd/4.0/","source":"DOI.org (Crossref)","title":"Implications of Religious Fatwa on the Implementation of the COVID-19 Policy in Indonesia","URL":"https://www.pharosjot.com/uploads/7/1/6/3/7163688/article_20_vol_104_3__indonesia.pdf","author":[{"family":"Nasution","given":"Faiz Albar"}],"accessed":{"date-parts":[["2025",10,1]]},"issued":{"date-parts":[["2023",6]]}}}],"schema":"https://github.com/citation-style-language/schema/raw/master/csl-citation.json"}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Faiz Albar Nasution, “Implications of Religious Fatwa on the Implementation of the COVID-19 Policy in Indonesia,” </w:t>
      </w:r>
      <w:r w:rsidRPr="006A6C13">
        <w:rPr>
          <w:rFonts w:ascii="Garamond" w:hAnsi="Garamond" w:cstheme="majorBidi"/>
          <w:i/>
          <w:iCs/>
          <w:sz w:val="20"/>
          <w:szCs w:val="20"/>
        </w:rPr>
        <w:t xml:space="preserve">Pharos Journal of Theology, </w:t>
      </w:r>
      <w:r w:rsidRPr="006A6C13">
        <w:rPr>
          <w:rFonts w:ascii="Garamond" w:hAnsi="Garamond" w:cstheme="majorBidi"/>
          <w:sz w:val="20"/>
          <w:szCs w:val="20"/>
        </w:rPr>
        <w:t>no. 104(3) (June 2023), https://doi.org/10.46222/pharosjot.104.320.</w:t>
      </w:r>
      <w:r w:rsidRPr="006A6C13">
        <w:rPr>
          <w:rFonts w:ascii="Garamond" w:hAnsi="Garamond" w:cstheme="majorBidi"/>
          <w:sz w:val="20"/>
          <w:szCs w:val="20"/>
        </w:rPr>
        <w:fldChar w:fldCharType="end"/>
      </w:r>
    </w:p>
  </w:footnote>
  <w:footnote w:id="50">
    <w:p w14:paraId="652A9426"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{"citationID":"uBaCt9bK","properties":{"formattedCitation":"Mahdi Ghaemi Asl, \\uc0\\u8220{}An AI-Optimized Strategy for Intelligent Risk Mapping of Islamic and Conventional Sustainable Markets: Assessing the Enduring Dynamics of Technological Risk Spillovers,\\uc0\\u8221{} {\\i{}Expert Systems with Applications} 296 (January 2025): 128945, https://doi.org/10.1016/j.eswa.2025.128945.","plainCitation":"Mahdi Ghaemi Asl, “An AI-Optimized Strategy for Intelligent Risk Mapping of Islamic and Conventional Sustainable Markets: Assessing the Enduring Dynamics of Technological Risk Spillovers,” Expert Systems with Applications 296 (January 2025): 128945, https://doi.org/10.1016/j.eswa.2025.128945.","noteIndex":50},"citationItems":[{"id":253,"uris":["http://zotero.org/users/17696806/items/SPT6GCM6"],"itemData":{"id":253,"type":"article-journal","abstract":"This study explores the lasting impact of industries influenced by Robotic-Artificial Intelligence-Cloud (RAIC) technologies on risk management in both conventional and Islamic sustainable markets, employing a novel AI-driven framework. By utilizing the Quantile-based Total Connectedness Index (QTCI) to gauge market interconnectedness and Long Short-Term Memory (LSTM) neural networks to evaluate risk persistence, the research investigates how sectors such as autonomous vehicles, cybersecurity, cleantech, and future payments influence financial stability across different market conditions (bull, bear, and normal). The findings reveal divergent risk dynamics: Islamic markets are more sensitive to technological disruptions, particularly in robotics and cybersecurity, while conventional markets show more stable integration with sectors like smart grids and space technologies. Cleantech shows a tendency to coincide with decreased market volatility during bear markets, while future payments demonstrate widespread interconnectedness across all market conditions. AI-driven analysis highlights those Islamic markets excel in risk mitigation during stable conditions but conventional markets exhibit greater adaptability in the face of change. The QTCI-LSTM hybrid approach identifies differences in risk persistence, showing that technologies like genetic engineering and nanotechnology have transient effects in Islamic markets but more enduring roles in conventional markets. The study offers policy recommendations for sector-specific strategies, advocating for enhanced resilience in volatile sectors during bull markets, prioritizing cleantech during downturns, and encouraging cross-market collaboration. This work contributes to sustainable finance literature by integrating AI-powered persistence analysis with traditional risk metrics. The findings offer insights for policymakers managing technological integration in evolving markets.","container-title":"Expert Systems with Applications","DOI":"10.1016/j.eswa.2025.128945","ISSN":"0957-4174","journalAbbreviation":"Expert Systems with Applications","page":"128945","source":"ScienceDirect","title":"An AI-optimized strategy for intelligent risk mapping of Islamic and conventional sustainable markets: Assessing the enduring dynamics of technological risk spillovers","title-short":"An AI-optimized strategy for intelligent risk mapping of Islamic and conventional sustainable markets","volume":"296","author":[{"family":"Ghaemi Asl","given":"Mahdi"}],"issued":{"date-parts":[["2025",1,15]]}}}],"schema":"https://github.com/citation-style-language/schema/raw/master/csl-citation.json"}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Mahdi Ghaemi Asl, “An AI-Optimized Strategy for Intelligent Risk Mapping of Islamic and Conventional Sustainable Markets: Assessing the Enduring Dynamics of Technological Risk Spillovers,” </w:t>
      </w:r>
      <w:r w:rsidRPr="006A6C13">
        <w:rPr>
          <w:rFonts w:ascii="Garamond" w:hAnsi="Garamond" w:cstheme="majorBidi"/>
          <w:i/>
          <w:iCs/>
          <w:sz w:val="20"/>
          <w:szCs w:val="20"/>
        </w:rPr>
        <w:t>Expert Systems with Applications</w:t>
      </w:r>
      <w:r w:rsidRPr="006A6C13">
        <w:rPr>
          <w:rFonts w:ascii="Garamond" w:hAnsi="Garamond" w:cstheme="majorBidi"/>
          <w:sz w:val="20"/>
          <w:szCs w:val="20"/>
        </w:rPr>
        <w:t xml:space="preserve"> 296 (January 2025): 128945, https://doi.org/10.1016/j.eswa.2025.128945.</w:t>
      </w:r>
      <w:r w:rsidRPr="006A6C13">
        <w:rPr>
          <w:rFonts w:ascii="Garamond" w:hAnsi="Garamond" w:cstheme="majorBidi"/>
          <w:sz w:val="20"/>
          <w:szCs w:val="20"/>
        </w:rPr>
        <w:fldChar w:fldCharType="end"/>
      </w:r>
    </w:p>
  </w:footnote>
  <w:footnote w:id="51">
    <w:p w14:paraId="2D825903"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{"citationID":"rLIMXToy","properties":{"formattedCitation":"Achraf Haddad and Mohamed Naceur Souissi, \\uc0\\u8220{}The Impact of Shariah Advisory Board Characteristics on the Financial Performance of Islamic Banks,\\uc0\\u8221{} {\\i{}Cogent Economics &amp; Finance}, Cogent, December 31, 2022, world, https://www.tandfonline.com/doi/abs/10.1080/23322039.2022.2062911.","plainCitation":"Achraf Haddad and Mohamed Naceur Souissi, “The Impact of Shariah Advisory Board Characteristics on the Financial Performance of Islamic Banks,” Cogent Economics &amp; Finance, Cogent, December 31, 2022, world, https://www.tandfonline.com/doi/abs/10.1080/23322039.2022.2062911.","noteIndex":51},"citationItems":[{"id":389,"uris":["http://zotero.org/users/17696806/items/4875XMSF"],"itemData":{"id":389,"type":"article-journal","abstract":"Theoretical approaches and demonstrated repertoires in the Islamic finance literature have formed a divergent and inconsistent system that did not truly value the importance of the Shariah Advisory...","archive_location":"world","container-title":"Cogent Economics &amp; Finance","ISSN":"2332-2039","language":"EN","license":"© 2022 The Author(s). This open access article is distributed under a Creative Commons Attribution (CC-BY) 4.0 license.","note":"publisher: Cogent","source":"www.tandfonline.com","title":"The impact of Shariah Advisory Board characteristics on the financial performance of Islamic banks","URL":"https://www.tandfonline.com/doi/abs/10.1080/23322039.2022.2062911","author":[{"family":"Haddad","given":"Achraf"},{"family":"Souissi","given":"Mohamed Naceur"}],"accessed":{"date-parts":[["2025",10,1]]},"issued":{"date-parts":[["2022",12,31]]}}}],"schema":"https://github.com/citation-style-language/schema/raw/master/csl-citation.json"}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Achraf Haddad and Mohamed Naceur Souissi, “The Impact of Shariah Advisory Board Characteristics on the Financial Performance of Islamic Banks,” </w:t>
      </w:r>
      <w:r w:rsidRPr="006A6C13">
        <w:rPr>
          <w:rFonts w:ascii="Garamond" w:hAnsi="Garamond" w:cstheme="majorBidi"/>
          <w:i/>
          <w:iCs/>
          <w:sz w:val="20"/>
          <w:szCs w:val="20"/>
        </w:rPr>
        <w:t xml:space="preserve">Cogent Economics &amp; Finance, </w:t>
      </w:r>
      <w:r w:rsidRPr="006A6C13">
        <w:rPr>
          <w:rFonts w:ascii="Garamond" w:hAnsi="Garamond" w:cstheme="majorBidi"/>
          <w:sz w:val="20"/>
          <w:szCs w:val="20"/>
        </w:rPr>
        <w:t>Cogent, December 31, 2022, world, https://www.tandfonline.com/doi/abs/10.1080/23322039.2022.2062911.</w:t>
      </w:r>
      <w:r w:rsidRPr="006A6C13">
        <w:rPr>
          <w:rFonts w:ascii="Garamond" w:hAnsi="Garamond" w:cstheme="majorBidi"/>
          <w:sz w:val="20"/>
          <w:szCs w:val="20"/>
        </w:rPr>
        <w:fldChar w:fldCharType="end"/>
      </w:r>
    </w:p>
  </w:footnote>
  <w:footnote w:id="52">
    <w:p w14:paraId="7C9D8E72"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{"citationID":"KR58YR1m","properties":{"formattedCitation":"\\uc0\\u8220{}The Language of Exclusion: Ideology and Power in the Fatwa of the Majelis Ulama Indonesia on Ahmadiyah,\\uc0\\u8221{} {\\i{}Journal of Islamic Law}, ahead of print, August 10, 2025, https://doi.org/10.24260/jil.v6i1.3338.","plainCitation":"“The Language of Exclusion: Ideology and Power in the Fatwa of the Majelis Ulama Indonesia on Ahmadiyah,” Journal of Islamic Law, ahead of print, August 10, 2025, https://doi.org/10.24260/jil.v6i1.3338.","noteIndex":51},"citationItems":[{"id":377,"uris":["http://zotero.org/users/17696806/items/DHEEG6I4"],"itemData":{"id":377,"type":"article-journal","abstract":"PDF | This article analyses the fatwa issued by the Majelis Ulama Indonesia (MUI, the Indonesian Council of Ulama) on the Ahmadiyah sect through the... | Find, read and cite all the research you need on ResearchGate","container-title":"Journal of Islamic Law","DOI":"10.24260/jil.v6i1.3338","language":"en","source":"www.researchgate.net","title":"The Language of Exclusion: Ideology and Power in the Fatwa of the Majelis Ulama Indonesia on Ahmadiyah","title-short":"(PDF) The Language of Exclusion","URL":"https://www.researchgate.net/publication/389501092_The_Language_of_Exclusion_Ideology_and_Power_in_the_Fatwa_of_the_Majelis_Ulama_Indonesia_on_Ahmadiyah","accessed":{"date-parts":[["2025",10,1]]},"issued":{"date-parts":[["2025",8,10]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“The Language of Exclusion: Ideology and Power in the Fatwa of the Indonesian Ulema Council on Ahmadiyah,” </w:t>
      </w:r>
      <w:r w:rsidRPr="006A6C13">
        <w:rPr>
          <w:rFonts w:ascii="Garamond" w:hAnsi="Garamond" w:cstheme="majorBidi"/>
          <w:i/>
          <w:iCs/>
          <w:sz w:val="20"/>
          <w:szCs w:val="20"/>
        </w:rPr>
        <w:t xml:space="preserve">Journal of Islamic Law, </w:t>
      </w:r>
      <w:r w:rsidRPr="006A6C13">
        <w:rPr>
          <w:rFonts w:ascii="Garamond" w:hAnsi="Garamond" w:cstheme="majorBidi"/>
          <w:sz w:val="20"/>
          <w:szCs w:val="20"/>
        </w:rPr>
        <w:t>ahead of print, August 10, 2025, https://doi.org/10.24260/jil.v6i1.3338.</w:t>
      </w:r>
      <w:r w:rsidRPr="006A6C13">
        <w:rPr>
          <w:rFonts w:ascii="Garamond" w:hAnsi="Garamond" w:cstheme="majorBidi"/>
          <w:sz w:val="20"/>
          <w:szCs w:val="20"/>
        </w:rPr>
        <w:fldChar w:fldCharType="end"/>
      </w:r>
    </w:p>
  </w:footnote>
  <w:footnote w:id="53">
    <w:p w14:paraId="436E9AC2"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{"citationID":"QVYh58DW","properties":{"formattedCitation":"Heris Suhendar et al., \\uc0\\u8220{}Legal Politics of the Existence of Fatwa in Islamic Financial Institutions: Evidence from Indonesia,\\uc0\\u8221{} {\\i{}Jurnal Hukum Islam} 21, no. 2 (2023): 279\\uc0\\u8211{}308, https://doi.org/10.28918/jhi_v21i2_03.","plainCitation":"Heris Suhendar et al., “Legal Politics of the Existence of Fatwa in Islamic Financial Institutions: Evidence from Indonesia,” Jurnal Hukum Islam 21, no. 2 (2023): 279–308, https://doi.org/10.28918/jhi_v21i2_03.","noteIndex":52},"citationItems":[{"id":381,"uris":["http://zotero.org/users/17696806/items/NXW2TZ72"],"itemData":{"id":381,"type":"article-journal","abstract":"The existence of the DSN-MUI Fatwa cannot be separated from the political situation of Indonesia and the legal politics of the formation of Islamic economic regulations. At the end of Soeharto's presidency, the government began to listen to the aspirations of Muslims to incorporate sharia values into legislation. This research aims to examine the background of the issuance of Fatwa DSN-MUI through a legal political approach, and examine the legal position of Fatwa DSN-MUI in Islamic financial institutions. The type of normative research whose object of study is Fatwa DSN-MUI using statute approach, conceptual approach, and historical approach. Sources of legal and non-legal materials were obtained from literature and documentation studies. The existence of Fatwa DSN-MUI is caused by two factors, namely: First, the existence of regulations that require every Islamic financial institution to carry out its business activities in accordance with the Fatwa DSN-MUI; and Second, the development of product innovation in every Islamic financial institution that requires Fatwa DSN-MUI as norms and operational guidelines that govern it. Therefore, the position of Fatwa DSN-MUI in legal substance is morally and legally binding for all Islamic financial service business actors. The binding of the DSN-MUI Fatwa is due to the existence of orders from the legislation. This is differentiates the Fatwa of DSN-MUI from other religious fatwas.","container-title":"Jurnal Hukum Islam","DOI":"10.28918/jhi_v21i2_03","ISSN":"2502-7719","issue":"2","language":"en","license":"Copyright (c) 2023 Heris Suhendar Heris, Oyo Sunaryo Mukhlas, Atang Abd. Hakim","page":"279-308","source":"e-journal.uingusdur.ac.id","title":"Legal Politics of the Existence of Fatwa in Islamic Financial Institutions: Evidence from Indonesia","title-short":"Legal Politics of the Existence of Fatwa in Islamic Financial Institutions","volume":"21","author":[{"family":"Suhendar","given":"Heris"},{"family":"Mukhlas","given":"Oyo Sunaryo"},{"family":"Hakim","given":"Atang Abd"}],"issued":{"date-parts":[["2023",6,17]]}}}],"schema":"https://github.com/citation-style-language/schema/raw/master/csl-citation.json"}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Heris Suhendar et al., “Legal Politics of the Existence of Fatwa in Islamic Financial Institutions: Evidence from Indonesia,” </w:t>
      </w:r>
      <w:r w:rsidRPr="006A6C13">
        <w:rPr>
          <w:rFonts w:ascii="Garamond" w:hAnsi="Garamond" w:cstheme="majorBidi"/>
          <w:i/>
          <w:iCs/>
          <w:sz w:val="20"/>
          <w:szCs w:val="20"/>
        </w:rPr>
        <w:t>Jurnal Hukum Islam</w:t>
      </w:r>
      <w:r w:rsidRPr="006A6C13">
        <w:rPr>
          <w:rFonts w:ascii="Garamond" w:hAnsi="Garamond" w:cstheme="majorBidi"/>
          <w:sz w:val="20"/>
          <w:szCs w:val="20"/>
        </w:rPr>
        <w:t xml:space="preserve"> 21, no. 2 (2023): 279–308, https://doi.org/10.28918/jhi_v21i2_03.</w:t>
      </w:r>
      <w:r w:rsidRPr="006A6C13">
        <w:rPr>
          <w:rFonts w:ascii="Garamond" w:hAnsi="Garamond" w:cstheme="majorBidi"/>
          <w:sz w:val="20"/>
          <w:szCs w:val="20"/>
        </w:rPr>
        <w:fldChar w:fldCharType="end"/>
      </w:r>
    </w:p>
  </w:footnote>
  <w:footnote w:id="54">
    <w:p w14:paraId="0533DB53"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{"citationID":"1gGWgEnA","properties":{"formattedCitation":"Yuli Andriansyah, \\uc0\\u8220{}Analysis of Fatwas by the National Sharia Board-Indonesian Council of Ulama on the Stock Market,\\uc0\\u8221{} {\\i{}Millah: Journal of Religious Studies}, August 30, 2023, 525\\uc0\\u8211{}52, https://doi.org/10.20885/millah.vol22.iss2.art9.","plainCitation":"Yuli Andriansyah, “Analysis of Fatwas by the National Sharia Board-Indonesian Council of Ulama on the Stock Market,” Millah: Journal of Religious Studies, August 30, 2023, 525–52, https://doi.org/10.20885/millah.vol22.iss2.art9.","noteIndex":53},"citationItems":[{"id":383,"uris":["http://zotero.org/users/17696806/items/G82IEKZK"],"itemData":{"id":383,"type":"article-journal","abstract":"This research aims to analyze the fatwas issued by the National Sharia Board-Indonesian Council of Ulama (Dewan Syariah Nasional Majelis Ulama Indonesia, abbreviated DSN-MUI in Bahasa Indonesia) concerning activities in the stock market. This study focused on the characteristics and general development of these fatwas. This study adopts a normative approach to examine whether the DSN-MUI fatwas related to the stock market. The data utilized in this study are of a secondary nature, encompassing fatwa information issued by the DSN-MUI. These data were further analyzed using a descriptive-qualitative approach and content analysis, particularly pertaining to fatwas. The results of this research indicate that the fatwas issued by the DSN-MUI serves varying purposes across different periods. These fatwas sometimes emerge as responses to questions about business matters or as reactions to recent developments in stock market products. Another finding of this study is that the fatwas issued by the DSN-MUI followed a specific pattern in its structure, starting with verses from the Quran and Hadith of the Prophet, followed by Fiqh principles, opinions of classical and contemporary scholars, and concluding with the National Sharia Boards stance on the specific topic. The development of these fatwas reflects the gradual (tadarruj) principle within Islamic jurisprudence regarding legal action.","container-title":"Millah: Journal of Religious Studies","DOI":"10.20885/millah.vol22.iss2.art9","ISSN":"2527-922X","journalAbbreviation":"Millah J. Rel. Stud.","language":"en","license":"Copyright (c) 2023 Yuli Andriansyah","page":"525-552","source":"journal.uii.ac.id","title":"Analysis of Fatwas by the National Sharia Board-Indonesian Council of Ulama on the Stock Market","author":[{"family":"Andriansyah","given":"Yuli"}],"issued":{"date-parts":[["2023",8,30]]}}}],"schema":"https://github.com/citation-style-language/schema/raw/master/csl-citation.json"}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Yuli Andriansyah, “Analysis of Fatwas by the National Sharia Board-Indonesian Council of Ulama on the Stock Market,” </w:t>
      </w:r>
      <w:r w:rsidRPr="006A6C13">
        <w:rPr>
          <w:rFonts w:ascii="Garamond" w:hAnsi="Garamond" w:cstheme="majorBidi"/>
          <w:i/>
          <w:iCs/>
          <w:sz w:val="20"/>
          <w:szCs w:val="20"/>
        </w:rPr>
        <w:t xml:space="preserve">Millah: Journal of Religious Studies, </w:t>
      </w:r>
      <w:r w:rsidRPr="006A6C13">
        <w:rPr>
          <w:rFonts w:ascii="Garamond" w:hAnsi="Garamond" w:cstheme="majorBidi"/>
          <w:sz w:val="20"/>
          <w:szCs w:val="20"/>
        </w:rPr>
        <w:t>August 30, 2023, 525–52, https://doi.org/10.20885/millah.vol22.iss2.art9.</w:t>
      </w:r>
      <w:r w:rsidRPr="006A6C13">
        <w:rPr>
          <w:rFonts w:ascii="Garamond" w:hAnsi="Garamond" w:cstheme="majorBidi"/>
          <w:sz w:val="20"/>
          <w:szCs w:val="20"/>
        </w:rPr>
        <w:fldChar w:fldCharType="end"/>
      </w:r>
    </w:p>
  </w:footnote>
  <w:footnote w:id="55">
    <w:p w14:paraId="3171A046"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{"citationID":"W5jRIWnL","properties":{"formattedCitation":"Hasanudin Hasanudin et al., \\uc0\\u8220{}Progressiveness of Islamic Economic Law in Indonesia: The Mur\\uc0\\u257{}\\uc0\\u8216{}at Al-\\uc0\\u8216{}Ilal Wa Al-Ma\\uc0\\u7779{}\\uc0\\u257{}li\\uc0\\u7717{} Approach,\\uc0\\u8221{} {\\i{}Samarah: Jurnal Hukum Keluarga Dan Hukum Islam} 7, no. 2 (2023): 1267\\uc0\\u8211{}92, https://doi.org/10.22373/sjhk.v7i2.17601.","plainCitation":"Hasanudin Hasanudin et al., “Progressiveness of Islamic Economic Law in Indonesia: The Murā‘at Al-‘Ilal Wa Al-Ma</w:instrText>
      </w:r>
      <w:r w:rsidRPr="006A6C13">
        <w:rPr>
          <w:rFonts w:ascii="Cambria" w:hAnsi="Cambria" w:cs="Cambria"/>
          <w:sz w:val="20"/>
          <w:szCs w:val="20"/>
        </w:rPr>
        <w:instrText>ṣ</w:instrText>
      </w:r>
      <w:r w:rsidRPr="006A6C13">
        <w:rPr>
          <w:rFonts w:ascii="Garamond" w:hAnsi="Garamond" w:cstheme="majorBidi"/>
          <w:sz w:val="20"/>
          <w:szCs w:val="20"/>
        </w:rPr>
        <w:instrText>āli</w:instrText>
      </w:r>
      <w:r w:rsidRPr="006A6C13">
        <w:rPr>
          <w:rFonts w:ascii="Cambria" w:hAnsi="Cambria" w:cs="Cambria"/>
          <w:sz w:val="20"/>
          <w:szCs w:val="20"/>
        </w:rPr>
        <w:instrText>ḥ</w:instrText>
      </w:r>
      <w:r w:rsidRPr="006A6C13">
        <w:rPr>
          <w:rFonts w:ascii="Garamond" w:hAnsi="Garamond" w:cstheme="majorBidi"/>
          <w:sz w:val="20"/>
          <w:szCs w:val="20"/>
        </w:rPr>
        <w:instrText xml:space="preserve"> Approach,” Samarah: Jurnal Hukum Keluarga Dan Hukum Islam 7, no. 2 (2023): 1267–92, https://doi.org/10.22373/sjhk.v7i2.17601.","noteIndex":54},"citationItems":[{"id":385,"uris":["http://zotero.org/users/17696806/items/QYNYIN6H"],"itemData":{"id":385,"type":"article-journal","abstract":"Islamic economic law is unresponsive and tends to be legal-formal in supervising Sharia finance and economic development. Economics, in fact, emphasizes the aspects of flexibility and convenience. This study aims to reveal the response of fatwas to economic and financial developments using the murā‘at al-‘ilal wa al-ma</w:instrText>
      </w:r>
      <w:r w:rsidRPr="006A6C13">
        <w:rPr>
          <w:rFonts w:ascii="Cambria" w:hAnsi="Cambria" w:cs="Cambria"/>
          <w:sz w:val="20"/>
          <w:szCs w:val="20"/>
        </w:rPr>
        <w:instrText>ṣ</w:instrText>
      </w:r>
      <w:r w:rsidRPr="006A6C13">
        <w:rPr>
          <w:rFonts w:ascii="Garamond" w:hAnsi="Garamond" w:cstheme="majorBidi"/>
          <w:sz w:val="20"/>
          <w:szCs w:val="20"/>
        </w:rPr>
        <w:instrText>āli</w:instrText>
      </w:r>
      <w:r w:rsidRPr="006A6C13">
        <w:rPr>
          <w:rFonts w:ascii="Cambria" w:hAnsi="Cambria" w:cs="Cambria"/>
          <w:sz w:val="20"/>
          <w:szCs w:val="20"/>
        </w:rPr>
        <w:instrText>ḥ</w:instrText>
      </w:r>
      <w:r w:rsidRPr="006A6C13">
        <w:rPr>
          <w:rFonts w:ascii="Garamond" w:hAnsi="Garamond" w:cstheme="majorBidi"/>
          <w:sz w:val="20"/>
          <w:szCs w:val="20"/>
        </w:rPr>
        <w:instrText> approach. The study use qualitative research method. The study used qualitative research methods, analyzed using the proposed fiqh and fiqh approaches. The data studied is the fatwa of the National Sharia Council (Dewan Syariah Nasional/DSN) of the Indonesian Ulema Council (Majelis Ulama Indonesia/MUI). This fatwa is examined by comparing chronologically the time, the opinion of the clergy, and economic developments. The three fatwas became the focus and debate of scholars examined to find patterns in responding to the needs of financial and economic transactions. As a result, fatwas are dynamic and responsive to industry needs. The law can change since the legal reasons (‘illat) behind it also changes. The existence of a law lies in how the cause of the law works; hence, in fatwa, there are things changing and some are permanent legal provisions. This finding has implications for corrections to previous legal provisions and changes to contracts made between financial institutions and clients.","container-title":"Samarah: Jurnal Hukum Keluarga dan Hukum Islam","DOI":"10.22373/sjhk.v7i2.17601","ISSN":"2549-3167","issue":"2","language":"en","license":"Copyright (c) 2023 Hasanudin Hasanudin, Jaih Mubarok, Muhammad Al-Fayyad Maulana","page":"1267-1292","source":"jurnal.ar-raniry.ac.id","title":"Progressiveness of Islamic Economic Law in Indonesia: The Murā‘at Al-‘Ilal wa Al-Ma</w:instrText>
      </w:r>
      <w:r w:rsidRPr="006A6C13">
        <w:rPr>
          <w:rFonts w:ascii="Cambria" w:hAnsi="Cambria" w:cs="Cambria"/>
          <w:sz w:val="20"/>
          <w:szCs w:val="20"/>
        </w:rPr>
        <w:instrText>ṣ</w:instrText>
      </w:r>
      <w:r w:rsidRPr="006A6C13">
        <w:rPr>
          <w:rFonts w:ascii="Garamond" w:hAnsi="Garamond" w:cstheme="majorBidi"/>
          <w:sz w:val="20"/>
          <w:szCs w:val="20"/>
        </w:rPr>
        <w:instrText>āli</w:instrText>
      </w:r>
      <w:r w:rsidRPr="006A6C13">
        <w:rPr>
          <w:rFonts w:ascii="Cambria" w:hAnsi="Cambria" w:cs="Cambria"/>
          <w:sz w:val="20"/>
          <w:szCs w:val="20"/>
        </w:rPr>
        <w:instrText>ḥ</w:instrText>
      </w:r>
      <w:r w:rsidRPr="006A6C13">
        <w:rPr>
          <w:rFonts w:ascii="Garamond" w:hAnsi="Garamond" w:cstheme="majorBidi"/>
          <w:sz w:val="20"/>
          <w:szCs w:val="20"/>
        </w:rPr>
        <w:instrText xml:space="preserve"> Approach","title-short":"Progressiveness of Islamic Economic Law in Indonesia","volume":"7","author":[{"family":"Hasanudin","given":"Hasanudin"},{"family":"Mubarok","given":"Jaih"},{"family":"Maulana","given":"Muhammad Al-Fayyad"}],"issued":{"date-parts":[["2023",6,20]]}}}],"schema":"https://github.com/citation-style-language/schema/raw/master/csl-citation.json"}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Hasanudin Hasanudin et al., “Progressiveness of Islamic Economic Law in Indonesia: The Murā‘at Al-‘Ilal Wa Al-Ma</w:t>
      </w:r>
      <w:r w:rsidRPr="006A6C13">
        <w:rPr>
          <w:rFonts w:ascii="Cambria" w:hAnsi="Cambria" w:cs="Cambria"/>
          <w:sz w:val="20"/>
          <w:szCs w:val="20"/>
        </w:rPr>
        <w:t>ṣ</w:t>
      </w:r>
      <w:r w:rsidRPr="006A6C13">
        <w:rPr>
          <w:rFonts w:ascii="Garamond" w:hAnsi="Garamond" w:cstheme="majorBidi"/>
          <w:sz w:val="20"/>
          <w:szCs w:val="20"/>
        </w:rPr>
        <w:t>āli</w:t>
      </w:r>
      <w:r w:rsidRPr="006A6C13">
        <w:rPr>
          <w:rFonts w:ascii="Cambria" w:hAnsi="Cambria" w:cs="Cambria"/>
          <w:sz w:val="20"/>
          <w:szCs w:val="20"/>
        </w:rPr>
        <w:t>ḥ</w:t>
      </w:r>
      <w:r w:rsidRPr="006A6C13">
        <w:rPr>
          <w:rFonts w:ascii="Garamond" w:hAnsi="Garamond" w:cstheme="majorBidi"/>
          <w:sz w:val="20"/>
          <w:szCs w:val="20"/>
        </w:rPr>
        <w:t xml:space="preserve"> Approach,” </w:t>
      </w:r>
      <w:r w:rsidRPr="006A6C13">
        <w:rPr>
          <w:rFonts w:ascii="Garamond" w:hAnsi="Garamond" w:cstheme="majorBidi"/>
          <w:i/>
          <w:iCs/>
          <w:sz w:val="20"/>
          <w:szCs w:val="20"/>
        </w:rPr>
        <w:t>Samarah: Journal of Family Law and Islamic Law</w:t>
      </w:r>
      <w:r w:rsidRPr="006A6C13">
        <w:rPr>
          <w:rFonts w:ascii="Garamond" w:hAnsi="Garamond" w:cstheme="majorBidi"/>
          <w:sz w:val="20"/>
          <w:szCs w:val="20"/>
        </w:rPr>
        <w:t xml:space="preserve"> 7, no. 2 (2023): 1267–92, https://doi.org/10.22373/sjhk.v7i2.17601.</w:t>
      </w:r>
      <w:r w:rsidRPr="006A6C13">
        <w:rPr>
          <w:rFonts w:ascii="Garamond" w:hAnsi="Garamond" w:cstheme="majorBidi"/>
          <w:sz w:val="20"/>
          <w:szCs w:val="20"/>
        </w:rPr>
        <w:fldChar w:fldCharType="end"/>
      </w:r>
    </w:p>
  </w:footnote>
  <w:footnote w:id="56">
    <w:p w14:paraId="6F1E5BD8"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{"citationID":"UbvfK7Zt","properties":{"formattedCitation":"Iiz Izmuddin et al., \\uc0\\u8220{}The Legitimation of Religion in Profit Seeking: The Role of National Shari\\uc0\\u8216{}\\uc0\\u257{}h Division of The Indonesian Muslim Council (DSN-MUI),\\uc0\\u8221{} {\\i{}Samarah: Jurnal Hukum Keluarga Dan Hukum Islam} 7, no. 2 (2023): 781\\uc0\\u8211{}800, https://doi.org/10.22373/sjhk.v7i2.15835.","plainCitation":"Iiz Izmuddin et al., “The Legitimation of Religion in Profit Seeking: The Role of National Shari‘āh Division of The Indonesian Muslim Council (DSN-MUI),” Samarah: Jurnal Hukum Keluarga Dan Hukum Islam 7, no. 2 (2023): 781–800, https://doi.org/10.22373/sjhk.v7i2.15835.","noteIndex":55},"citationItems":[{"id":387,"uris":["http://zotero.org/users/17696806/items/8TFL356D"],"itemData":{"id":387,"type":"article-journal","abstract":"Religious legitimacy is a potent means of achieving one's objectives, including the pursuit of economic benefits. This is how Islamic financial institutions employ the fatwa of the National Sharia Council (DSN-MUI) in their operations. Nonetheless, this objective is often in conflict with the noblest religious ideals of justice, equality, and humanity. This paper aims to explain how the DSN-MUI fatwa acquires religious legitimacy, as well as the repercussions of granting this legitimacy to the public that utilizes Islamic financial institutions. The collected data consists of the texts of DSN-MUI fatwa from 2000 to 2021 as well as the results of interviews with DSN-MUI practitioners of Islamic economics, and pertinent academicians. The data is then descriptively and critically analyzed. The findings of the study suggest that there are three fatwa issued by the DSN-MUI that legitimize profits gained by Islamic financial institutions. However, this method may violate significant religious norms. This paper also concludes that competition between conventional and Islamic financial institutions is a significant factor in the emergence of this legitimacy.","container-title":"Samarah: Jurnal Hukum Keluarga dan Hukum Islam","DOI":"10.22373/sjhk.v7i2.15835","ISSN":"2549-3167","issue":"2","language":"en","license":"Copyright (c) 2023 Iiz Izmuddin, Euis Amalia, Mohamad Abdun Nasir, Farid Muttaqin","page":"781-800","source":"jurnal.ar-raniry.ac.id","title":"The Legitimation of Religion in Profit Seeking: The Role of National Shari‘āh Division of The Indonesian Muslim Council (DSN-MUI)","title-short":"The Legitimation of Religion in Profit Seeking","volume":"7","author":[{"family":"Izmuddin","given":"Iiz"},{"family":"Amalia","given":"Euis"},{"family":"Nasir","given":"Mohamad Abdun"},{"family":"Muttaqin","given":"Farid"}],"issued":{"date-parts":[["2023",5,9]]}}}],"schema":"https://github.com/citation-style-language/schema/raw/master/csl-citation.json"}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sz w:val="20"/>
          <w:szCs w:val="20"/>
        </w:rPr>
        <w:t xml:space="preserve"> Iiz Izmuddin et al., “The Legitimation of Religion in Profit Seeking: The Role of National Shari‘āh Division of The Indonesian Muslim Council (DSN-MUI),” </w:t>
      </w:r>
      <w:r w:rsidRPr="006A6C13">
        <w:rPr>
          <w:rFonts w:ascii="Garamond" w:hAnsi="Garamond" w:cstheme="majorBidi"/>
          <w:i/>
          <w:iCs/>
          <w:sz w:val="20"/>
          <w:szCs w:val="20"/>
        </w:rPr>
        <w:t>Samarah: Journal of Family Law and Islamic Law</w:t>
      </w:r>
      <w:r w:rsidRPr="006A6C13">
        <w:rPr>
          <w:rFonts w:ascii="Garamond" w:hAnsi="Garamond" w:cstheme="majorBidi"/>
          <w:sz w:val="20"/>
          <w:szCs w:val="20"/>
        </w:rPr>
        <w:t xml:space="preserve"> 7, no. 2 (2023): 781–800, https://doi.org/10.22373/sjhk.v7i2.15835.</w:t>
      </w:r>
      <w:r w:rsidRPr="006A6C13">
        <w:rPr>
          <w:rFonts w:ascii="Garamond" w:hAnsi="Garamond" w:cstheme="majorBidi"/>
          <w:sz w:val="20"/>
          <w:szCs w:val="20"/>
        </w:rPr>
        <w:fldChar w:fldCharType="end"/>
      </w:r>
    </w:p>
  </w:footnote>
  <w:footnote w:id="57">
    <w:p w14:paraId="7AB65311" w14:textId="77777777" w:rsidR="006A6C13" w:rsidRPr="006A6C13" w:rsidRDefault="006A6C13" w:rsidP="006A6C13">
      <w:pPr>
        <w:pStyle w:val="FootnoteText"/>
        <w:ind w:left="142" w:hanging="142"/>
        <w:jc w:val="both"/>
        <w:rPr>
          <w:rFonts w:ascii="Garamond" w:hAnsi="Garamond" w:cstheme="majorBidi"/>
          <w:sz w:val="20"/>
          <w:szCs w:val="20"/>
        </w:rPr>
      </w:pPr>
      <w:r w:rsidRPr="006A6C13">
        <w:rPr>
          <w:rStyle w:val="FootnoteReference"/>
          <w:rFonts w:ascii="Garamond" w:hAnsi="Garamond" w:cstheme="majorBidi"/>
          <w:sz w:val="20"/>
          <w:szCs w:val="20"/>
        </w:rPr>
        <w:footnoteRef/>
      </w:r>
      <w:r w:rsidRPr="006A6C13">
        <w:rPr>
          <w:rFonts w:ascii="Garamond" w:hAnsi="Garamond" w:cstheme="majorBidi"/>
          <w:sz w:val="20"/>
          <w:szCs w:val="20"/>
        </w:rPr>
        <w:fldChar w:fldCharType="begin"/>
      </w:r>
      <w:r w:rsidRPr="006A6C13">
        <w:rPr>
          <w:rFonts w:ascii="Garamond" w:hAnsi="Garamond" w:cstheme="majorBidi"/>
          <w:sz w:val="20"/>
          <w:szCs w:val="20"/>
        </w:rPr>
        <w:instrText xml:space="preserve"> ADDIN ZOTERO_ITEM CSL_CITATION {"citationID":"ZlGfIYXG","properties":{"formattedCitation":"Joey Robin, \\uc0\\u8220{}Le Droit de Refuser Un Traitement M\\uc0\\u233{}dical Invoqu\\uc0\\u233{} Par Une Personne Victime d\\uc0\\u8217{}emprise Mentale,\\uc0\\u8221{} {\\i{}Droit, D\\uc0\\u233{}ontologie &amp; Soin} 21, no. 4 (2021): 532\\uc0\\u8211{}39, https://doi.org/10.1016/j.ddes.2021.10.019.","plainCitation":"Joey Robin, “Le Droit de Refuser Un Traitement Médical Invoqué Par Une Personne Victime d’emprise Mentale,” Droit, Déontologie &amp; Soin 21, no. 4 (2021): 532–39, https://doi.org/10.1016/j.ddes.2021.10.019.","noteIndex":52},"citationItems":[{"id":101,"uris":["http://zotero.org/users/17696806/items/CBQK3D3R"],"itemData":{"id":101,"type":"article-journal","abstract":"Résumé\nAffaiblie physiquement et mentalement, une personne en souffrance peut être manipulée par des tiers au point de refuser un traitement pourtant essentiel à sa survie. Il convient alors de comprendre l’encadrement juridique d’une telle situation. Si le droit français reconnaît pleinement le droit du patient de ne pas consentir à un traitement, cette faculté étant un corollaire du principe de dignité humaine et de la liberté de conscience, il en prévoit la limitation pour des motifs d’intérêt général. Qui plus est, ce droit est conditionné à ce que le patient démontre un consentement « éclairé », posant alors la question de l’influence d’une potentielle emprise mentale, et de sa sanction dans un tel cas de figure.","container-title":"Droit, Déontologie &amp; Soin","DOI":"10.1016/j.ddes.2021.10.019","ISSN":"1629-6583","issue":"4","journalAbbreviation":"Droit, Déontologie &amp; Soin","page":"532-539","source":"ScienceDirect","title":"Le droit de refuser un traitement médical invoqué par une personne victime d’emprise mentale","volume":"21","author":[{"family":"Robin","given":"Joey"}],"issued":{"date-parts":[["2021",12,1]]}}}],"schema":"https://github.com/citation-style-language/schema/raw/master/csl-citation.json"} </w:instrText>
      </w:r>
      <w:r w:rsidRPr="006A6C13">
        <w:rPr>
          <w:rFonts w:ascii="Garamond" w:hAnsi="Garamond" w:cstheme="majorBidi"/>
          <w:sz w:val="20"/>
          <w:szCs w:val="20"/>
        </w:rPr>
        <w:fldChar w:fldCharType="separate"/>
      </w:r>
      <w:r w:rsidRPr="006A6C13">
        <w:rPr>
          <w:rFonts w:ascii="Garamond" w:hAnsi="Garamond" w:cstheme="majorBidi"/>
          <w:kern w:val="0"/>
          <w:sz w:val="20"/>
          <w:szCs w:val="20"/>
        </w:rPr>
        <w:t xml:space="preserve"> Joey Robin, “The Right to Refuse Medical Treatment Invoked by a Person Suffering from Mental Influence,” </w:t>
      </w:r>
      <w:r w:rsidRPr="006A6C13">
        <w:rPr>
          <w:rFonts w:ascii="Garamond" w:hAnsi="Garamond" w:cstheme="majorBidi"/>
          <w:i/>
          <w:iCs/>
          <w:kern w:val="0"/>
          <w:sz w:val="20"/>
          <w:szCs w:val="20"/>
        </w:rPr>
        <w:t>Law, Ethics &amp;amp; Care</w:t>
      </w:r>
      <w:r w:rsidRPr="006A6C13">
        <w:rPr>
          <w:rFonts w:ascii="Garamond" w:hAnsi="Garamond" w:cstheme="majorBidi"/>
          <w:kern w:val="0"/>
          <w:sz w:val="20"/>
          <w:szCs w:val="20"/>
        </w:rPr>
        <w:t xml:space="preserve"> 21, no. 4 (2021): 532–39, https://doi.org/10.1016/j.ddes.2021.10.019.</w:t>
      </w:r>
      <w:r w:rsidRPr="006A6C13">
        <w:rPr>
          <w:rFonts w:ascii="Garamond" w:hAnsi="Garamond" w:cstheme="majorBidi"/>
          <w:sz w:val="20"/>
          <w:szCs w:val="20"/>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389164"/>
      <w:docPartObj>
        <w:docPartGallery w:val="Page Numbers (Top of Page)"/>
        <w:docPartUnique/>
      </w:docPartObj>
    </w:sdtPr>
    <w:sdtEndPr>
      <w:rPr>
        <w:rFonts w:ascii="Book Antiqua" w:hAnsi="Book Antiqua"/>
        <w:noProof/>
        <w:sz w:val="24"/>
        <w:szCs w:val="24"/>
      </w:rPr>
    </w:sdtEndPr>
    <w:sdtContent>
      <w:p w14:paraId="29919873" w14:textId="4F01D169" w:rsidR="00516991" w:rsidRPr="00281E3B" w:rsidRDefault="00516991" w:rsidP="00516991">
        <w:pPr>
          <w:pStyle w:val="Header"/>
          <w:rPr>
            <w:rFonts w:ascii="Book Antiqua" w:hAnsi="Book Antiqua"/>
            <w:sz w:val="24"/>
            <w:szCs w:val="24"/>
          </w:rPr>
        </w:pPr>
        <w:r w:rsidRPr="00F95B60">
          <w:rPr>
            <w:rFonts w:ascii="Book Antiqua" w:hAnsi="Book Antiqua"/>
            <w:b/>
            <w:bCs/>
            <w:sz w:val="24"/>
            <w:szCs w:val="24"/>
          </w:rPr>
          <w:fldChar w:fldCharType="begin"/>
        </w:r>
        <w:r w:rsidRPr="00F95B60">
          <w:rPr>
            <w:rFonts w:ascii="Book Antiqua" w:hAnsi="Book Antiqua"/>
            <w:b/>
            <w:bCs/>
            <w:sz w:val="24"/>
            <w:szCs w:val="24"/>
          </w:rPr>
          <w:instrText xml:space="preserve"> PAGE   \* MERGEFORMAT </w:instrText>
        </w:r>
        <w:r w:rsidRPr="00F95B60">
          <w:rPr>
            <w:rFonts w:ascii="Book Antiqua" w:hAnsi="Book Antiqua"/>
            <w:b/>
            <w:bCs/>
            <w:sz w:val="24"/>
            <w:szCs w:val="24"/>
          </w:rPr>
          <w:fldChar w:fldCharType="separate"/>
        </w:r>
        <w:r w:rsidR="001403D6">
          <w:rPr>
            <w:rFonts w:ascii="Book Antiqua" w:hAnsi="Book Antiqua"/>
            <w:b/>
            <w:bCs/>
            <w:noProof/>
            <w:sz w:val="24"/>
            <w:szCs w:val="24"/>
          </w:rPr>
          <w:t>252</w:t>
        </w:r>
        <w:r w:rsidRPr="00F95B60">
          <w:rPr>
            <w:rFonts w:ascii="Book Antiqua" w:hAnsi="Book Antiqua"/>
            <w:b/>
            <w:bCs/>
            <w:noProof/>
            <w:sz w:val="24"/>
            <w:szCs w:val="24"/>
          </w:rPr>
          <w:fldChar w:fldCharType="end"/>
        </w:r>
        <w:r w:rsidRPr="00F95B60">
          <w:rPr>
            <w:rFonts w:ascii="Book Antiqua" w:eastAsia="Times New Roman" w:hAnsi="Book Antiqua" w:cs="Times New Roman"/>
            <w:b/>
            <w:bCs/>
            <w:noProof/>
            <w:sz w:val="24"/>
            <w:szCs w:val="24"/>
          </w:rPr>
          <w:t>|</w:t>
        </w:r>
        <w:r w:rsidRPr="00947C74">
          <w:rPr>
            <w:rFonts w:ascii="Jawa Palsu" w:hAnsi="Jawa Palsu"/>
            <w:noProof/>
            <w:sz w:val="24"/>
            <w:szCs w:val="24"/>
            <w:lang w:val="en-US"/>
          </w:rPr>
          <w:t xml:space="preserve"> </w:t>
        </w:r>
        <w:r>
          <w:rPr>
            <w:rFonts w:ascii="Jawa Palsu" w:hAnsi="Jawa Palsu"/>
            <w:noProof/>
            <w:sz w:val="24"/>
            <w:szCs w:val="24"/>
            <w:lang w:val="en-US"/>
          </w:rPr>
          <w:t>Muslim</w:t>
        </w:r>
        <w:r w:rsidRPr="00947C74">
          <w:rPr>
            <w:rFonts w:ascii="Jawa Palsu" w:hAnsi="Jawa Palsu"/>
            <w:noProof/>
            <w:sz w:val="24"/>
            <w:szCs w:val="24"/>
            <w:lang w:val="en-US"/>
          </w:rPr>
          <w:t xml:space="preserve"> heritag</w:t>
        </w:r>
        <w:r>
          <w:rPr>
            <w:rFonts w:ascii="Jawa Palsu" w:hAnsi="Jawa Palsu"/>
            <w:noProof/>
            <w:sz w:val="24"/>
            <w:szCs w:val="24"/>
            <w:lang w:val="en-US"/>
          </w:rPr>
          <w:t xml:space="preserve">e </w:t>
        </w:r>
        <w:r w:rsidRPr="00947C74">
          <w:rPr>
            <w:rFonts w:ascii="Book Antiqua" w:hAnsi="Book Antiqua"/>
            <w:noProof/>
            <w:sz w:val="24"/>
            <w:szCs w:val="24"/>
            <w:lang w:val="en-US"/>
          </w:rPr>
          <w:t>Vol.</w:t>
        </w:r>
        <w:r w:rsidR="001403D6">
          <w:rPr>
            <w:rFonts w:ascii="Book Antiqua" w:hAnsi="Book Antiqua"/>
            <w:noProof/>
            <w:sz w:val="24"/>
            <w:szCs w:val="24"/>
          </w:rPr>
          <w:t>10</w:t>
        </w:r>
        <w:r w:rsidRPr="00947C74">
          <w:rPr>
            <w:rFonts w:ascii="Book Antiqua" w:hAnsi="Book Antiqua"/>
            <w:noProof/>
            <w:sz w:val="24"/>
            <w:szCs w:val="24"/>
            <w:lang w:val="en-US"/>
          </w:rPr>
          <w:t>, No.</w:t>
        </w:r>
        <w:r w:rsidR="001403D6">
          <w:rPr>
            <w:rFonts w:ascii="Book Antiqua" w:hAnsi="Book Antiqua"/>
            <w:noProof/>
            <w:sz w:val="24"/>
            <w:szCs w:val="24"/>
          </w:rPr>
          <w:t>2</w:t>
        </w:r>
        <w:r w:rsidR="001403D6">
          <w:rPr>
            <w:rFonts w:ascii="Book Antiqua" w:hAnsi="Book Antiqua"/>
            <w:noProof/>
            <w:sz w:val="24"/>
            <w:szCs w:val="24"/>
            <w:lang w:val="en-US"/>
          </w:rPr>
          <w:t xml:space="preserve">, </w:t>
        </w:r>
        <w:r w:rsidR="001403D6">
          <w:rPr>
            <w:rFonts w:ascii="Book Antiqua" w:hAnsi="Book Antiqua"/>
            <w:noProof/>
            <w:sz w:val="24"/>
            <w:szCs w:val="24"/>
          </w:rPr>
          <w:t>Desember</w:t>
        </w:r>
        <w:r w:rsidRPr="00947C74">
          <w:rPr>
            <w:rFonts w:ascii="Book Antiqua" w:hAnsi="Book Antiqua"/>
            <w:noProof/>
            <w:sz w:val="24"/>
            <w:szCs w:val="24"/>
            <w:lang w:val="en-US"/>
          </w:rPr>
          <w:t xml:space="preserve"> 202</w:t>
        </w:r>
        <w:r w:rsidR="001403D6">
          <w:rPr>
            <w:rFonts w:ascii="Book Antiqua" w:hAnsi="Book Antiqua"/>
            <w:noProof/>
            <w:sz w:val="24"/>
            <w:szCs w:val="24"/>
          </w:rPr>
          <w:t>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4"/>
        <w:szCs w:val="24"/>
      </w:rPr>
      <w:id w:val="-2110498838"/>
      <w:docPartObj>
        <w:docPartGallery w:val="Page Numbers (Top of Page)"/>
        <w:docPartUnique/>
      </w:docPartObj>
    </w:sdtPr>
    <w:sdtEndPr>
      <w:rPr>
        <w:b/>
        <w:bCs/>
        <w:noProof/>
      </w:rPr>
    </w:sdtEndPr>
    <w:sdtContent>
      <w:p w14:paraId="60BDD875" w14:textId="4BDE5301" w:rsidR="00281E3B" w:rsidRPr="00281E3B" w:rsidRDefault="001403D6" w:rsidP="00947C74">
        <w:pPr>
          <w:pStyle w:val="Header"/>
          <w:jc w:val="right"/>
          <w:rPr>
            <w:rFonts w:ascii="Book Antiqua" w:hAnsi="Book Antiqua"/>
            <w:sz w:val="24"/>
            <w:szCs w:val="24"/>
          </w:rPr>
        </w:pPr>
        <w:r>
          <w:rPr>
            <w:rFonts w:ascii="Book Antiqua" w:hAnsi="Book Antiqua"/>
            <w:b/>
            <w:bCs/>
            <w:sz w:val="24"/>
            <w:szCs w:val="24"/>
          </w:rPr>
          <w:t xml:space="preserve">K. A. Bukhori, </w:t>
        </w:r>
        <w:proofErr w:type="spellStart"/>
        <w:r>
          <w:rPr>
            <w:rFonts w:ascii="Book Antiqua" w:hAnsi="Book Antiqua"/>
            <w:b/>
            <w:bCs/>
            <w:sz w:val="24"/>
            <w:szCs w:val="24"/>
          </w:rPr>
          <w:t>dkk</w:t>
        </w:r>
        <w:proofErr w:type="spellEnd"/>
        <w:r w:rsidR="00D038B1">
          <w:rPr>
            <w:rFonts w:ascii="Book Antiqua" w:hAnsi="Book Antiqua"/>
            <w:b/>
            <w:bCs/>
            <w:sz w:val="24"/>
            <w:szCs w:val="24"/>
          </w:rPr>
          <w:t>|</w:t>
        </w:r>
        <w:r w:rsidRPr="001403D6">
          <w:rPr>
            <w:rFonts w:ascii="Book Antiqua" w:hAnsi="Book Antiqua"/>
            <w:i/>
            <w:iCs/>
            <w:sz w:val="24"/>
            <w:szCs w:val="24"/>
            <w:lang w:val="en-US"/>
          </w:rPr>
          <w:t>Religious Authority and Pol</w:t>
        </w:r>
        <w:r>
          <w:rPr>
            <w:rFonts w:ascii="Book Antiqua" w:hAnsi="Book Antiqua"/>
            <w:i/>
            <w:iCs/>
            <w:sz w:val="24"/>
            <w:szCs w:val="24"/>
            <w:lang w:val="en-US"/>
          </w:rPr>
          <w:t>itical Dynamics</w:t>
        </w:r>
        <w:r w:rsidR="00947C74" w:rsidRPr="00F95B60">
          <w:rPr>
            <w:rFonts w:ascii="Book Antiqua" w:hAnsi="Book Antiqua"/>
            <w:b/>
            <w:bCs/>
            <w:i/>
            <w:iCs/>
            <w:sz w:val="24"/>
            <w:szCs w:val="24"/>
          </w:rPr>
          <w:t>|</w:t>
        </w:r>
        <w:r w:rsidR="00281E3B" w:rsidRPr="00F95B60">
          <w:rPr>
            <w:rFonts w:ascii="Book Antiqua" w:hAnsi="Book Antiqua"/>
            <w:b/>
            <w:bCs/>
            <w:sz w:val="24"/>
            <w:szCs w:val="24"/>
          </w:rPr>
          <w:fldChar w:fldCharType="begin"/>
        </w:r>
        <w:r w:rsidR="00281E3B" w:rsidRPr="00F95B60">
          <w:rPr>
            <w:rFonts w:ascii="Book Antiqua" w:hAnsi="Book Antiqua"/>
            <w:b/>
            <w:bCs/>
            <w:sz w:val="24"/>
            <w:szCs w:val="24"/>
          </w:rPr>
          <w:instrText xml:space="preserve"> PAGE   \* MERGEFORMAT </w:instrText>
        </w:r>
        <w:r w:rsidR="00281E3B" w:rsidRPr="00F95B60">
          <w:rPr>
            <w:rFonts w:ascii="Book Antiqua" w:hAnsi="Book Antiqua"/>
            <w:b/>
            <w:bCs/>
            <w:sz w:val="24"/>
            <w:szCs w:val="24"/>
          </w:rPr>
          <w:fldChar w:fldCharType="separate"/>
        </w:r>
        <w:r>
          <w:rPr>
            <w:rFonts w:ascii="Book Antiqua" w:hAnsi="Book Antiqua"/>
            <w:b/>
            <w:bCs/>
            <w:noProof/>
            <w:sz w:val="24"/>
            <w:szCs w:val="24"/>
          </w:rPr>
          <w:t>253</w:t>
        </w:r>
        <w:r w:rsidR="00281E3B" w:rsidRPr="00F95B60">
          <w:rPr>
            <w:rFonts w:ascii="Book Antiqua" w:hAnsi="Book Antiqua"/>
            <w:b/>
            <w:bCs/>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1AC5" w14:textId="77777777" w:rsidR="00516991" w:rsidRDefault="00516991" w:rsidP="00516991">
    <w:pPr>
      <w:pStyle w:val="Header"/>
      <w:ind w:firstLine="3600"/>
      <w:rPr>
        <w:rFonts w:ascii="Jawa Palsu" w:hAnsi="Jawa Palsu"/>
        <w:b/>
        <w:bCs/>
      </w:rPr>
    </w:pPr>
    <w:r>
      <w:rPr>
        <w:noProof/>
        <w:lang w:eastAsia="id-ID"/>
      </w:rPr>
      <w:drawing>
        <wp:anchor distT="0" distB="0" distL="114300" distR="114300" simplePos="0" relativeHeight="251659264" behindDoc="0" locked="0" layoutInCell="1" allowOverlap="1" wp14:anchorId="6D811CCE" wp14:editId="0D3B0725">
          <wp:simplePos x="0" y="0"/>
          <wp:positionH relativeFrom="margin">
            <wp:posOffset>5715</wp:posOffset>
          </wp:positionH>
          <wp:positionV relativeFrom="paragraph">
            <wp:posOffset>-254000</wp:posOffset>
          </wp:positionV>
          <wp:extent cx="2743200" cy="5737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816" t="2" b="5872"/>
                  <a:stretch>
                    <a:fillRect/>
                  </a:stretch>
                </pic:blipFill>
                <pic:spPr bwMode="auto">
                  <a:xfrm>
                    <a:off x="0" y="0"/>
                    <a:ext cx="2762662" cy="5778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2D48D" w14:textId="5522DF3F" w:rsidR="00516991" w:rsidRPr="00D038B1" w:rsidRDefault="00516991" w:rsidP="00516991">
    <w:pPr>
      <w:pStyle w:val="Header"/>
      <w:rPr>
        <w:rFonts w:ascii="Jawa Palsu" w:hAnsi="Jawa Palsu"/>
        <w:b/>
        <w:bCs/>
      </w:rPr>
    </w:pPr>
    <w:r w:rsidRPr="00BA74A0">
      <w:rPr>
        <w:rFonts w:ascii="Jawa Palsu" w:hAnsi="Jawa Palsu"/>
        <w:b/>
        <w:bCs/>
        <w:lang w:val="en-US"/>
      </w:rPr>
      <w:t>Muslim Heritage</w:t>
    </w:r>
    <w:r>
      <w:rPr>
        <w:lang w:val="en-US"/>
      </w:rPr>
      <w:t xml:space="preserve">, </w:t>
    </w:r>
    <w:r w:rsidRPr="00107BD1">
      <w:rPr>
        <w:rFonts w:ascii="Bookman Old Style" w:hAnsi="Bookman Old Style"/>
        <w:noProof/>
        <w:color w:val="000000"/>
        <w:sz w:val="18"/>
        <w:szCs w:val="18"/>
      </w:rPr>
      <w:t>Vol.</w:t>
    </w:r>
    <w:r>
      <w:rPr>
        <w:rFonts w:ascii="Bookman Old Style" w:hAnsi="Bookman Old Style"/>
        <w:noProof/>
        <w:color w:val="000000"/>
        <w:sz w:val="18"/>
        <w:szCs w:val="18"/>
      </w:rPr>
      <w:t>10</w:t>
    </w:r>
    <w:r w:rsidRPr="00107BD1">
      <w:rPr>
        <w:rFonts w:ascii="Bookman Old Style" w:hAnsi="Bookman Old Style"/>
        <w:noProof/>
        <w:color w:val="000000"/>
        <w:sz w:val="18"/>
        <w:szCs w:val="18"/>
      </w:rPr>
      <w:t>, No.</w:t>
    </w:r>
    <w:r w:rsidR="001403D6">
      <w:rPr>
        <w:rFonts w:ascii="Bookman Old Style" w:hAnsi="Bookman Old Style"/>
        <w:noProof/>
        <w:color w:val="000000"/>
        <w:sz w:val="18"/>
        <w:szCs w:val="18"/>
      </w:rPr>
      <w:t>2</w:t>
    </w:r>
    <w:r w:rsidRPr="00107BD1">
      <w:rPr>
        <w:rFonts w:ascii="Bookman Old Style" w:hAnsi="Bookman Old Style"/>
        <w:noProof/>
        <w:color w:val="000000"/>
        <w:sz w:val="18"/>
        <w:szCs w:val="18"/>
      </w:rPr>
      <w:t xml:space="preserve">, </w:t>
    </w:r>
    <w:r w:rsidR="001403D6">
      <w:rPr>
        <w:rFonts w:ascii="Bookman Old Style" w:hAnsi="Bookman Old Style"/>
        <w:noProof/>
        <w:color w:val="000000"/>
        <w:sz w:val="18"/>
        <w:szCs w:val="18"/>
      </w:rPr>
      <w:t>Desember</w:t>
    </w:r>
    <w:r>
      <w:rPr>
        <w:rFonts w:ascii="Bookman Old Style" w:hAnsi="Bookman Old Style"/>
        <w:noProof/>
        <w:color w:val="000000"/>
        <w:sz w:val="18"/>
        <w:szCs w:val="18"/>
        <w:lang w:val="en-U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evenAndOddHeaders/>
  <w:drawingGridHorizontalSpacing w:val="110"/>
  <w:displayHorizontalDrawingGridEvery w:val="2"/>
  <w:characterSpacingControl w:val="doNotCompress"/>
  <w:noLineBreaksAfter w:lang="ja-JP" w:val="([{·‘“〈《「『【〔〖（．［｛￡￥"/>
  <w:noLineBreaksBefore w:lang="ja-JP" w:val="!),.:;?]}¨·ˇˉ―‖’”…∶、。〃々〉》」』】〕〗！＂＇），．：；？］｀｜｝～￠"/>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7CE"/>
    <w:rsid w:val="00012355"/>
    <w:rsid w:val="00021564"/>
    <w:rsid w:val="00054816"/>
    <w:rsid w:val="00064EEF"/>
    <w:rsid w:val="000825F0"/>
    <w:rsid w:val="00086B99"/>
    <w:rsid w:val="000A045F"/>
    <w:rsid w:val="000A053E"/>
    <w:rsid w:val="000F2577"/>
    <w:rsid w:val="0010240E"/>
    <w:rsid w:val="00107BD1"/>
    <w:rsid w:val="001232A2"/>
    <w:rsid w:val="001403D6"/>
    <w:rsid w:val="0015792C"/>
    <w:rsid w:val="00165065"/>
    <w:rsid w:val="00177BE4"/>
    <w:rsid w:val="001E5CF6"/>
    <w:rsid w:val="00200D6C"/>
    <w:rsid w:val="0027645E"/>
    <w:rsid w:val="00277DC6"/>
    <w:rsid w:val="00281E3B"/>
    <w:rsid w:val="002A17CB"/>
    <w:rsid w:val="002B0526"/>
    <w:rsid w:val="003320AF"/>
    <w:rsid w:val="00335CCF"/>
    <w:rsid w:val="00347D63"/>
    <w:rsid w:val="00380510"/>
    <w:rsid w:val="00382C83"/>
    <w:rsid w:val="003B31CF"/>
    <w:rsid w:val="003E2FEA"/>
    <w:rsid w:val="003F46DC"/>
    <w:rsid w:val="00411F21"/>
    <w:rsid w:val="00494585"/>
    <w:rsid w:val="004E67A2"/>
    <w:rsid w:val="005000CF"/>
    <w:rsid w:val="00516991"/>
    <w:rsid w:val="005920EB"/>
    <w:rsid w:val="00594ABE"/>
    <w:rsid w:val="005B7BBC"/>
    <w:rsid w:val="005F1C0F"/>
    <w:rsid w:val="00607946"/>
    <w:rsid w:val="00611FE1"/>
    <w:rsid w:val="00664BD5"/>
    <w:rsid w:val="006A2448"/>
    <w:rsid w:val="006A27CB"/>
    <w:rsid w:val="006A6C13"/>
    <w:rsid w:val="006B5AA2"/>
    <w:rsid w:val="006D63C9"/>
    <w:rsid w:val="006F1564"/>
    <w:rsid w:val="0070600B"/>
    <w:rsid w:val="00736A13"/>
    <w:rsid w:val="00747DCC"/>
    <w:rsid w:val="0076028E"/>
    <w:rsid w:val="00761CFD"/>
    <w:rsid w:val="007B071E"/>
    <w:rsid w:val="007F5CE0"/>
    <w:rsid w:val="0080274A"/>
    <w:rsid w:val="00824719"/>
    <w:rsid w:val="008320DD"/>
    <w:rsid w:val="0084214D"/>
    <w:rsid w:val="0089673C"/>
    <w:rsid w:val="008B5579"/>
    <w:rsid w:val="008B5BBF"/>
    <w:rsid w:val="008C341A"/>
    <w:rsid w:val="008C77F9"/>
    <w:rsid w:val="008D20A5"/>
    <w:rsid w:val="008E7604"/>
    <w:rsid w:val="008E7B8B"/>
    <w:rsid w:val="008F5DFA"/>
    <w:rsid w:val="00924BAD"/>
    <w:rsid w:val="00930647"/>
    <w:rsid w:val="009323A9"/>
    <w:rsid w:val="00947C74"/>
    <w:rsid w:val="009E65FF"/>
    <w:rsid w:val="00A05FB2"/>
    <w:rsid w:val="00A068EC"/>
    <w:rsid w:val="00A626C5"/>
    <w:rsid w:val="00A673FA"/>
    <w:rsid w:val="00A817B0"/>
    <w:rsid w:val="00AB129B"/>
    <w:rsid w:val="00B07041"/>
    <w:rsid w:val="00B13AC2"/>
    <w:rsid w:val="00B244F6"/>
    <w:rsid w:val="00B36FF3"/>
    <w:rsid w:val="00B4345E"/>
    <w:rsid w:val="00B4794C"/>
    <w:rsid w:val="00B57869"/>
    <w:rsid w:val="00B95673"/>
    <w:rsid w:val="00BA14E2"/>
    <w:rsid w:val="00BA74A0"/>
    <w:rsid w:val="00BB3D02"/>
    <w:rsid w:val="00BD5F7F"/>
    <w:rsid w:val="00BF1883"/>
    <w:rsid w:val="00BF37CE"/>
    <w:rsid w:val="00BF539C"/>
    <w:rsid w:val="00C749F6"/>
    <w:rsid w:val="00D038B1"/>
    <w:rsid w:val="00D94430"/>
    <w:rsid w:val="00DC1563"/>
    <w:rsid w:val="00E56BFB"/>
    <w:rsid w:val="00E83C21"/>
    <w:rsid w:val="00EA6476"/>
    <w:rsid w:val="00F0159B"/>
    <w:rsid w:val="00F700CF"/>
    <w:rsid w:val="00F7760B"/>
    <w:rsid w:val="00F85874"/>
    <w:rsid w:val="00F95B60"/>
    <w:rsid w:val="00FB54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EE64E"/>
  <w14:defaultImageDpi w14:val="0"/>
  <w15:docId w15:val="{6122D072-55CB-4AB2-9602-4A37247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uiPriority="34"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cs="Calibri"/>
      <w:kern w:val="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rFonts w:cs="Times New Roman"/>
      <w:b/>
    </w:rPr>
  </w:style>
  <w:style w:type="character" w:styleId="Hyperlink">
    <w:name w:val="Hyperlink"/>
    <w:basedOn w:val="DefaultParagraphFont"/>
    <w:uiPriority w:val="99"/>
    <w:unhideWhenUsed/>
    <w:rPr>
      <w:rFonts w:cs="Times New Roman"/>
      <w:color w:val="0000FF"/>
      <w:u w:val="single"/>
    </w:rPr>
  </w:style>
  <w:style w:type="character" w:customStyle="1" w:styleId="HeaderChar">
    <w:name w:val="Header Char"/>
    <w:basedOn w:val="DefaultParagraphFont"/>
    <w:link w:val="Header"/>
    <w:uiPriority w:val="99"/>
    <w:unhideWhenUsed/>
    <w:qFormat/>
    <w:locked/>
    <w:rPr>
      <w:rFonts w:eastAsia="Times New Roman" w:cs="Times New Roman"/>
      <w:sz w:val="22"/>
      <w:lang w:val="x-none" w:eastAsia="ja-JP"/>
    </w:rPr>
  </w:style>
  <w:style w:type="character" w:customStyle="1" w:styleId="hps">
    <w:name w:val="hps"/>
    <w:basedOn w:val="DefaultParagraphFont"/>
    <w:unhideWhenUsed/>
    <w:rPr>
      <w:rFonts w:cs="Times New Roman"/>
    </w:rPr>
  </w:style>
  <w:style w:type="character" w:customStyle="1" w:styleId="BalloonTextChar">
    <w:name w:val="Balloon Text Char"/>
    <w:basedOn w:val="DefaultParagraphFont"/>
    <w:link w:val="BalloonText"/>
    <w:uiPriority w:val="99"/>
    <w:unhideWhenUsed/>
    <w:locked/>
    <w:rPr>
      <w:rFonts w:ascii="Tahoma" w:cs="Tahoma"/>
      <w:sz w:val="16"/>
      <w:lang w:val="x-none" w:eastAsia="ja-JP"/>
    </w:rPr>
  </w:style>
  <w:style w:type="character" w:customStyle="1" w:styleId="ShortAbstract">
    <w:name w:val="Short Abstract"/>
    <w:unhideWhenUsed/>
    <w:rPr>
      <w:sz w:val="20"/>
    </w:rPr>
  </w:style>
  <w:style w:type="character" w:customStyle="1" w:styleId="FooterChar">
    <w:name w:val="Footer Char"/>
    <w:basedOn w:val="DefaultParagraphFont"/>
    <w:link w:val="Footer"/>
    <w:uiPriority w:val="99"/>
    <w:unhideWhenUsed/>
    <w:locked/>
    <w:rPr>
      <w:rFonts w:eastAsia="Times New Roman" w:cs="Times New Roman"/>
      <w:sz w:val="22"/>
      <w:lang w:val="x-none" w:eastAsia="ja-JP"/>
    </w:rPr>
  </w:style>
  <w:style w:type="character" w:customStyle="1" w:styleId="BodyTextChar">
    <w:name w:val="Body Text Char"/>
    <w:basedOn w:val="DefaultParagraphFont"/>
    <w:link w:val="BodyText"/>
    <w:uiPriority w:val="99"/>
    <w:unhideWhenUsed/>
    <w:locked/>
    <w:rPr>
      <w:rFonts w:cs="Times New Roman"/>
      <w:kern w:val="1"/>
      <w:lang w:val="id-ID" w:eastAsia="zh-CN"/>
    </w:rPr>
  </w:style>
  <w:style w:type="character" w:customStyle="1" w:styleId="HTMLPreformattedChar">
    <w:name w:val="HTML Preformatted Char"/>
    <w:basedOn w:val="DefaultParagraphFont"/>
    <w:link w:val="HTMLPreformatted"/>
    <w:uiPriority w:val="99"/>
    <w:unhideWhenUsed/>
    <w:locked/>
    <w:rPr>
      <w:rFonts w:ascii="Courier New" w:cs="Courier New"/>
    </w:rPr>
  </w:style>
  <w:style w:type="character" w:customStyle="1" w:styleId="FootnoteTextChar">
    <w:name w:val="Footnote Text Char"/>
    <w:aliases w:val="Footnote Text Char Char Char,Char Char,char Char"/>
    <w:basedOn w:val="DefaultParagraphFont"/>
    <w:uiPriority w:val="99"/>
    <w:unhideWhenUsed/>
    <w:locked/>
    <w:rPr>
      <w:rFonts w:cs="Times New Roman"/>
      <w:lang w:val="x-none" w:eastAsia="ja-JP"/>
    </w:rPr>
  </w:style>
  <w:style w:type="character" w:customStyle="1" w:styleId="FootnoteTextChar2">
    <w:name w:val="Footnote Text Char2"/>
    <w:aliases w:val="Footnote Text Char Char Char1,Char Char1,char Char1"/>
    <w:basedOn w:val="DefaultParagraphFont"/>
    <w:link w:val="FootnoteText"/>
    <w:uiPriority w:val="99"/>
    <w:unhideWhenUsed/>
    <w:locked/>
    <w:rPr>
      <w:rFonts w:cs="Times New Roman"/>
      <w:color w:val="00000A"/>
      <w:kern w:val="1"/>
    </w:rPr>
  </w:style>
  <w:style w:type="character" w:customStyle="1" w:styleId="shorttext">
    <w:name w:val="short_text"/>
    <w:unhideWhenUsed/>
  </w:style>
  <w:style w:type="paragraph" w:styleId="Footer">
    <w:name w:val="footer"/>
    <w:basedOn w:val="Normal"/>
    <w:link w:val="FooterChar"/>
    <w:uiPriority w:val="99"/>
    <w:unhideWhenUsed/>
    <w:pPr>
      <w:tabs>
        <w:tab w:val="center" w:pos="4680"/>
        <w:tab w:val="right" w:pos="9360"/>
      </w:tabs>
    </w:pPr>
    <w:rPr>
      <w:lang w:val="id-ID"/>
    </w:rPr>
  </w:style>
  <w:style w:type="character" w:customStyle="1" w:styleId="FooterChar1">
    <w:name w:val="Footer Char1"/>
    <w:basedOn w:val="DefaultParagraphFont"/>
    <w:uiPriority w:val="99"/>
    <w:semiHidden/>
    <w:rPr>
      <w:rFonts w:ascii="Calibri" w:cs="Calibri"/>
      <w:kern w:val="0"/>
      <w:sz w:val="22"/>
      <w:szCs w:val="22"/>
      <w:lang w:eastAsia="ja-JP"/>
    </w:rPr>
  </w:style>
  <w:style w:type="character" w:customStyle="1" w:styleId="FooterChar17">
    <w:name w:val="Footer Char17"/>
    <w:basedOn w:val="DefaultParagraphFont"/>
    <w:uiPriority w:val="99"/>
    <w:semiHidden/>
    <w:rPr>
      <w:rFonts w:ascii="Calibri" w:cs="Calibri"/>
      <w:kern w:val="0"/>
      <w:sz w:val="22"/>
      <w:szCs w:val="22"/>
      <w:lang w:val="en-US" w:eastAsia="ja-JP"/>
    </w:rPr>
  </w:style>
  <w:style w:type="character" w:customStyle="1" w:styleId="FooterChar16">
    <w:name w:val="Footer Char16"/>
    <w:basedOn w:val="DefaultParagraphFont"/>
    <w:uiPriority w:val="99"/>
    <w:semiHidden/>
    <w:rPr>
      <w:rFonts w:ascii="Calibri" w:cs="Calibri"/>
      <w:kern w:val="0"/>
      <w:sz w:val="22"/>
      <w:szCs w:val="22"/>
      <w:lang w:val="en-US" w:eastAsia="ja-JP"/>
    </w:rPr>
  </w:style>
  <w:style w:type="character" w:customStyle="1" w:styleId="FooterChar15">
    <w:name w:val="Footer Char15"/>
    <w:basedOn w:val="DefaultParagraphFont"/>
    <w:uiPriority w:val="99"/>
    <w:semiHidden/>
    <w:rPr>
      <w:rFonts w:ascii="Calibri" w:cs="Calibri"/>
      <w:kern w:val="0"/>
      <w:sz w:val="22"/>
      <w:szCs w:val="22"/>
      <w:lang w:val="en-US" w:eastAsia="ja-JP"/>
    </w:rPr>
  </w:style>
  <w:style w:type="character" w:customStyle="1" w:styleId="FooterChar14">
    <w:name w:val="Footer Char14"/>
    <w:basedOn w:val="DefaultParagraphFont"/>
    <w:uiPriority w:val="99"/>
    <w:semiHidden/>
    <w:rPr>
      <w:rFonts w:ascii="Calibri" w:cs="Calibri"/>
      <w:kern w:val="0"/>
      <w:sz w:val="22"/>
      <w:szCs w:val="22"/>
      <w:lang w:val="en-US" w:eastAsia="ja-JP"/>
    </w:rPr>
  </w:style>
  <w:style w:type="character" w:customStyle="1" w:styleId="FooterChar13">
    <w:name w:val="Footer Char13"/>
    <w:basedOn w:val="DefaultParagraphFont"/>
    <w:uiPriority w:val="99"/>
    <w:semiHidden/>
    <w:rPr>
      <w:rFonts w:ascii="Calibri" w:cs="Calibri"/>
      <w:kern w:val="0"/>
      <w:sz w:val="22"/>
      <w:szCs w:val="22"/>
      <w:lang w:val="x-none" w:eastAsia="ja-JP"/>
    </w:rPr>
  </w:style>
  <w:style w:type="character" w:customStyle="1" w:styleId="FooterChar12">
    <w:name w:val="Footer Char12"/>
    <w:basedOn w:val="DefaultParagraphFont"/>
    <w:uiPriority w:val="99"/>
    <w:semiHidden/>
    <w:rPr>
      <w:rFonts w:ascii="Calibri" w:cs="Calibri"/>
      <w:kern w:val="0"/>
      <w:sz w:val="22"/>
      <w:szCs w:val="22"/>
      <w:lang w:val="x-none" w:eastAsia="ja-JP"/>
    </w:rPr>
  </w:style>
  <w:style w:type="character" w:customStyle="1" w:styleId="FooterChar11">
    <w:name w:val="Footer Char11"/>
    <w:basedOn w:val="DefaultParagraphFont"/>
    <w:uiPriority w:val="99"/>
    <w:semiHidden/>
    <w:rPr>
      <w:rFonts w:ascii="Calibri" w:cs="Calibri"/>
      <w:kern w:val="0"/>
      <w:sz w:val="22"/>
      <w:szCs w:val="22"/>
      <w:lang w:val="x-none"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sz w:val="20"/>
      <w:szCs w:val="20"/>
      <w:lang w:eastAsia="en-US"/>
    </w:rPr>
  </w:style>
  <w:style w:type="character" w:customStyle="1" w:styleId="HTMLPreformattedChar1">
    <w:name w:val="HTML Preformatted Char1"/>
    <w:basedOn w:val="DefaultParagraphFont"/>
    <w:uiPriority w:val="99"/>
    <w:semiHidden/>
    <w:rPr>
      <w:rFonts w:ascii="Courier New" w:hAnsi="Courier New" w:cs="Courier New"/>
      <w:kern w:val="0"/>
      <w:sz w:val="20"/>
      <w:szCs w:val="20"/>
      <w:lang w:eastAsia="ja-JP"/>
    </w:rPr>
  </w:style>
  <w:style w:type="character" w:customStyle="1" w:styleId="HTMLPreformattedChar17">
    <w:name w:val="HTML Preformatted Char17"/>
    <w:basedOn w:val="DefaultParagraphFont"/>
    <w:uiPriority w:val="99"/>
    <w:semiHidden/>
    <w:rPr>
      <w:rFonts w:ascii="Courier New" w:hAnsi="Courier New" w:cs="Courier New"/>
      <w:kern w:val="0"/>
      <w:sz w:val="20"/>
      <w:szCs w:val="20"/>
      <w:lang w:val="en-US" w:eastAsia="ja-JP"/>
    </w:rPr>
  </w:style>
  <w:style w:type="character" w:customStyle="1" w:styleId="HTMLPreformattedChar16">
    <w:name w:val="HTML Preformatted Char16"/>
    <w:basedOn w:val="DefaultParagraphFont"/>
    <w:uiPriority w:val="99"/>
    <w:semiHidden/>
    <w:rPr>
      <w:rFonts w:ascii="Courier New" w:hAnsi="Courier New" w:cs="Courier New"/>
      <w:kern w:val="0"/>
      <w:sz w:val="20"/>
      <w:szCs w:val="20"/>
      <w:lang w:val="en-US" w:eastAsia="ja-JP"/>
    </w:rPr>
  </w:style>
  <w:style w:type="character" w:customStyle="1" w:styleId="HTMLPreformattedChar15">
    <w:name w:val="HTML Preformatted Char15"/>
    <w:basedOn w:val="DefaultParagraphFont"/>
    <w:uiPriority w:val="99"/>
    <w:semiHidden/>
    <w:rPr>
      <w:rFonts w:ascii="Courier New" w:hAnsi="Courier New" w:cs="Courier New"/>
      <w:kern w:val="0"/>
      <w:sz w:val="20"/>
      <w:szCs w:val="20"/>
      <w:lang w:val="en-US" w:eastAsia="ja-JP"/>
    </w:rPr>
  </w:style>
  <w:style w:type="character" w:customStyle="1" w:styleId="HTMLPreformattedChar14">
    <w:name w:val="HTML Preformatted Char14"/>
    <w:basedOn w:val="DefaultParagraphFont"/>
    <w:uiPriority w:val="99"/>
    <w:semiHidden/>
    <w:rPr>
      <w:rFonts w:ascii="Courier New" w:hAnsi="Courier New" w:cs="Courier New"/>
      <w:kern w:val="0"/>
      <w:sz w:val="20"/>
      <w:szCs w:val="20"/>
      <w:lang w:val="en-US" w:eastAsia="ja-JP"/>
    </w:rPr>
  </w:style>
  <w:style w:type="character" w:customStyle="1" w:styleId="HTMLPreformattedChar13">
    <w:name w:val="HTML Preformatted Char13"/>
    <w:basedOn w:val="DefaultParagraphFont"/>
    <w:uiPriority w:val="99"/>
    <w:semiHidden/>
    <w:rPr>
      <w:rFonts w:ascii="Courier New" w:hAnsi="Courier New" w:cs="Courier New"/>
      <w:kern w:val="0"/>
      <w:sz w:val="20"/>
      <w:szCs w:val="20"/>
      <w:lang w:val="x-none" w:eastAsia="ja-JP"/>
    </w:rPr>
  </w:style>
  <w:style w:type="character" w:customStyle="1" w:styleId="HTMLPreformattedChar12">
    <w:name w:val="HTML Preformatted Char12"/>
    <w:basedOn w:val="DefaultParagraphFont"/>
    <w:uiPriority w:val="99"/>
    <w:semiHidden/>
    <w:rPr>
      <w:rFonts w:ascii="Courier New" w:hAnsi="Courier New" w:cs="Courier New"/>
      <w:kern w:val="0"/>
      <w:sz w:val="20"/>
      <w:szCs w:val="20"/>
      <w:lang w:val="x-none" w:eastAsia="ja-JP"/>
    </w:rPr>
  </w:style>
  <w:style w:type="character" w:customStyle="1" w:styleId="HTMLPreformattedChar11">
    <w:name w:val="HTML Preformatted Char11"/>
    <w:basedOn w:val="DefaultParagraphFont"/>
    <w:uiPriority w:val="99"/>
    <w:semiHidden/>
    <w:rPr>
      <w:rFonts w:ascii="Courier New" w:hAnsi="Courier New" w:cs="Courier New"/>
      <w:kern w:val="0"/>
      <w:sz w:val="20"/>
      <w:szCs w:val="20"/>
      <w:lang w:val="x-none" w:eastAsia="ja-JP"/>
    </w:rPr>
  </w:style>
  <w:style w:type="paragraph" w:styleId="BalloonText">
    <w:name w:val="Balloon Text"/>
    <w:basedOn w:val="Normal"/>
    <w:link w:val="BalloonTextChar"/>
    <w:uiPriority w:val="99"/>
    <w:unhideWhenUsed/>
    <w:pPr>
      <w:spacing w:after="0" w:line="240" w:lineRule="auto"/>
    </w:pPr>
    <w:rPr>
      <w:rFonts w:ascii="Tahoma" w:cs="Tahoma"/>
      <w:sz w:val="16"/>
      <w:szCs w:val="16"/>
      <w:lang w:val="id-ID"/>
    </w:rPr>
  </w:style>
  <w:style w:type="character" w:customStyle="1" w:styleId="BalloonTextChar1">
    <w:name w:val="Balloon Text Char1"/>
    <w:basedOn w:val="DefaultParagraphFont"/>
    <w:uiPriority w:val="99"/>
    <w:semiHidden/>
    <w:rPr>
      <w:rFonts w:ascii="Tahoma" w:hAnsi="Tahoma" w:cs="Tahoma"/>
      <w:kern w:val="0"/>
      <w:sz w:val="16"/>
      <w:szCs w:val="16"/>
      <w:lang w:eastAsia="ja-JP"/>
    </w:rPr>
  </w:style>
  <w:style w:type="character" w:customStyle="1" w:styleId="BalloonTextChar17">
    <w:name w:val="Balloon Text Char17"/>
    <w:basedOn w:val="DefaultParagraphFont"/>
    <w:uiPriority w:val="99"/>
    <w:semiHidden/>
    <w:rPr>
      <w:rFonts w:ascii="Segoe UI" w:hAnsi="Segoe UI" w:cs="Segoe UI"/>
      <w:kern w:val="0"/>
      <w:sz w:val="18"/>
      <w:szCs w:val="18"/>
      <w:lang w:val="en-US" w:eastAsia="ja-JP"/>
    </w:rPr>
  </w:style>
  <w:style w:type="character" w:customStyle="1" w:styleId="BalloonTextChar16">
    <w:name w:val="Balloon Text Char16"/>
    <w:basedOn w:val="DefaultParagraphFont"/>
    <w:uiPriority w:val="99"/>
    <w:semiHidden/>
    <w:rPr>
      <w:rFonts w:ascii="Segoe UI" w:hAnsi="Segoe UI" w:cs="Segoe UI"/>
      <w:kern w:val="0"/>
      <w:sz w:val="18"/>
      <w:szCs w:val="18"/>
      <w:lang w:val="en-US" w:eastAsia="ja-JP"/>
    </w:rPr>
  </w:style>
  <w:style w:type="character" w:customStyle="1" w:styleId="BalloonTextChar15">
    <w:name w:val="Balloon Text Char15"/>
    <w:basedOn w:val="DefaultParagraphFont"/>
    <w:uiPriority w:val="99"/>
    <w:semiHidden/>
    <w:rPr>
      <w:rFonts w:ascii="Segoe UI" w:hAnsi="Segoe UI" w:cs="Segoe UI"/>
      <w:kern w:val="0"/>
      <w:sz w:val="18"/>
      <w:szCs w:val="18"/>
      <w:lang w:val="en-US" w:eastAsia="ja-JP"/>
    </w:rPr>
  </w:style>
  <w:style w:type="character" w:customStyle="1" w:styleId="BalloonTextChar14">
    <w:name w:val="Balloon Text Char14"/>
    <w:basedOn w:val="DefaultParagraphFont"/>
    <w:uiPriority w:val="99"/>
    <w:semiHidden/>
    <w:rPr>
      <w:rFonts w:ascii="Segoe UI" w:hAnsi="Segoe UI" w:cs="Segoe UI"/>
      <w:kern w:val="0"/>
      <w:sz w:val="18"/>
      <w:szCs w:val="18"/>
      <w:lang w:val="en-US" w:eastAsia="ja-JP"/>
    </w:rPr>
  </w:style>
  <w:style w:type="character" w:customStyle="1" w:styleId="BalloonTextChar13">
    <w:name w:val="Balloon Text Char13"/>
    <w:basedOn w:val="DefaultParagraphFont"/>
    <w:uiPriority w:val="99"/>
    <w:semiHidden/>
    <w:rPr>
      <w:rFonts w:ascii="Segoe UI" w:hAnsi="Segoe UI" w:cs="Segoe UI"/>
      <w:kern w:val="0"/>
      <w:sz w:val="18"/>
      <w:szCs w:val="18"/>
      <w:lang w:val="x-none" w:eastAsia="ja-JP"/>
    </w:rPr>
  </w:style>
  <w:style w:type="character" w:customStyle="1" w:styleId="BalloonTextChar12">
    <w:name w:val="Balloon Text Char12"/>
    <w:basedOn w:val="DefaultParagraphFont"/>
    <w:uiPriority w:val="99"/>
    <w:semiHidden/>
    <w:rPr>
      <w:rFonts w:ascii="Segoe UI" w:hAnsi="Segoe UI" w:cs="Segoe UI"/>
      <w:kern w:val="0"/>
      <w:sz w:val="18"/>
      <w:szCs w:val="18"/>
      <w:lang w:val="x-none" w:eastAsia="ja-JP"/>
    </w:rPr>
  </w:style>
  <w:style w:type="character" w:customStyle="1" w:styleId="BalloonTextChar11">
    <w:name w:val="Balloon Text Char11"/>
    <w:basedOn w:val="DefaultParagraphFont"/>
    <w:uiPriority w:val="99"/>
    <w:semiHidden/>
    <w:rPr>
      <w:rFonts w:ascii="Segoe UI" w:hAnsi="Segoe UI" w:cs="Segoe UI"/>
      <w:kern w:val="0"/>
      <w:sz w:val="18"/>
      <w:szCs w:val="18"/>
      <w:lang w:val="x-none" w:eastAsia="ja-JP"/>
    </w:rPr>
  </w:style>
  <w:style w:type="paragraph" w:styleId="BodyText">
    <w:name w:val="Body Text"/>
    <w:basedOn w:val="Normal"/>
    <w:link w:val="BodyTextChar"/>
    <w:uiPriority w:val="99"/>
    <w:unhideWhenUsed/>
    <w:pPr>
      <w:widowControl w:val="0"/>
      <w:suppressAutoHyphens/>
      <w:spacing w:after="120" w:line="240" w:lineRule="auto"/>
    </w:pPr>
    <w:rPr>
      <w:rFonts w:cs="DejaVu Sans"/>
      <w:kern w:val="1"/>
      <w:sz w:val="24"/>
      <w:szCs w:val="24"/>
      <w:lang w:val="id-ID" w:eastAsia="zh-CN" w:bidi="hi-IN"/>
    </w:rPr>
  </w:style>
  <w:style w:type="character" w:customStyle="1" w:styleId="BodyTextChar1">
    <w:name w:val="Body Text Char1"/>
    <w:basedOn w:val="DefaultParagraphFont"/>
    <w:uiPriority w:val="99"/>
    <w:semiHidden/>
    <w:rPr>
      <w:rFonts w:ascii="Calibri" w:cs="Calibri"/>
      <w:kern w:val="0"/>
      <w:sz w:val="22"/>
      <w:szCs w:val="22"/>
      <w:lang w:eastAsia="ja-JP"/>
    </w:rPr>
  </w:style>
  <w:style w:type="character" w:customStyle="1" w:styleId="BodyTextChar17">
    <w:name w:val="Body Text Char17"/>
    <w:basedOn w:val="DefaultParagraphFont"/>
    <w:uiPriority w:val="99"/>
    <w:semiHidden/>
    <w:rPr>
      <w:rFonts w:ascii="Calibri" w:cs="Calibri"/>
      <w:kern w:val="0"/>
      <w:sz w:val="22"/>
      <w:szCs w:val="22"/>
      <w:lang w:val="en-US" w:eastAsia="ja-JP"/>
    </w:rPr>
  </w:style>
  <w:style w:type="character" w:customStyle="1" w:styleId="BodyTextChar16">
    <w:name w:val="Body Text Char16"/>
    <w:basedOn w:val="DefaultParagraphFont"/>
    <w:uiPriority w:val="99"/>
    <w:semiHidden/>
    <w:rPr>
      <w:rFonts w:ascii="Calibri" w:cs="Calibri"/>
      <w:kern w:val="0"/>
      <w:sz w:val="22"/>
      <w:szCs w:val="22"/>
      <w:lang w:val="en-US" w:eastAsia="ja-JP"/>
    </w:rPr>
  </w:style>
  <w:style w:type="character" w:customStyle="1" w:styleId="BodyTextChar15">
    <w:name w:val="Body Text Char15"/>
    <w:basedOn w:val="DefaultParagraphFont"/>
    <w:uiPriority w:val="99"/>
    <w:semiHidden/>
    <w:rPr>
      <w:rFonts w:ascii="Calibri" w:cs="Calibri"/>
      <w:kern w:val="0"/>
      <w:sz w:val="22"/>
      <w:szCs w:val="22"/>
      <w:lang w:val="en-US" w:eastAsia="ja-JP"/>
    </w:rPr>
  </w:style>
  <w:style w:type="character" w:customStyle="1" w:styleId="BodyTextChar14">
    <w:name w:val="Body Text Char14"/>
    <w:basedOn w:val="DefaultParagraphFont"/>
    <w:uiPriority w:val="99"/>
    <w:semiHidden/>
    <w:rPr>
      <w:rFonts w:ascii="Calibri" w:cs="Calibri"/>
      <w:kern w:val="0"/>
      <w:sz w:val="22"/>
      <w:szCs w:val="22"/>
      <w:lang w:val="en-US" w:eastAsia="ja-JP"/>
    </w:rPr>
  </w:style>
  <w:style w:type="character" w:customStyle="1" w:styleId="BodyTextChar13">
    <w:name w:val="Body Text Char13"/>
    <w:basedOn w:val="DefaultParagraphFont"/>
    <w:uiPriority w:val="99"/>
    <w:semiHidden/>
    <w:rPr>
      <w:rFonts w:ascii="Calibri" w:cs="Calibri"/>
      <w:kern w:val="0"/>
      <w:sz w:val="22"/>
      <w:szCs w:val="22"/>
      <w:lang w:val="x-none" w:eastAsia="ja-JP"/>
    </w:rPr>
  </w:style>
  <w:style w:type="character" w:customStyle="1" w:styleId="BodyTextChar12">
    <w:name w:val="Body Text Char12"/>
    <w:basedOn w:val="DefaultParagraphFont"/>
    <w:uiPriority w:val="99"/>
    <w:semiHidden/>
    <w:rPr>
      <w:rFonts w:ascii="Calibri" w:cs="Calibri"/>
      <w:kern w:val="0"/>
      <w:sz w:val="22"/>
      <w:szCs w:val="22"/>
      <w:lang w:val="x-none" w:eastAsia="ja-JP"/>
    </w:rPr>
  </w:style>
  <w:style w:type="character" w:customStyle="1" w:styleId="BodyTextChar11">
    <w:name w:val="Body Text Char11"/>
    <w:basedOn w:val="DefaultParagraphFont"/>
    <w:uiPriority w:val="99"/>
    <w:semiHidden/>
    <w:rPr>
      <w:rFonts w:ascii="Calibri" w:cs="Calibri"/>
      <w:kern w:val="0"/>
      <w:sz w:val="22"/>
      <w:szCs w:val="22"/>
      <w:lang w:val="x-none" w:eastAsia="ja-JP"/>
    </w:rPr>
  </w:style>
  <w:style w:type="paragraph" w:styleId="Header">
    <w:name w:val="header"/>
    <w:basedOn w:val="Normal"/>
    <w:link w:val="HeaderChar"/>
    <w:uiPriority w:val="99"/>
    <w:unhideWhenUsed/>
    <w:qFormat/>
    <w:pPr>
      <w:tabs>
        <w:tab w:val="center" w:pos="4680"/>
        <w:tab w:val="right" w:pos="9360"/>
      </w:tabs>
    </w:pPr>
    <w:rPr>
      <w:lang w:val="id-ID"/>
    </w:rPr>
  </w:style>
  <w:style w:type="character" w:customStyle="1" w:styleId="HeaderChar1">
    <w:name w:val="Header Char1"/>
    <w:basedOn w:val="DefaultParagraphFont"/>
    <w:uiPriority w:val="99"/>
    <w:semiHidden/>
    <w:rPr>
      <w:rFonts w:ascii="Calibri" w:cs="Calibri"/>
      <w:kern w:val="0"/>
      <w:sz w:val="22"/>
      <w:szCs w:val="22"/>
      <w:lang w:eastAsia="ja-JP"/>
    </w:rPr>
  </w:style>
  <w:style w:type="character" w:customStyle="1" w:styleId="HeaderChar17">
    <w:name w:val="Header Char17"/>
    <w:basedOn w:val="DefaultParagraphFont"/>
    <w:uiPriority w:val="99"/>
    <w:semiHidden/>
    <w:rPr>
      <w:rFonts w:ascii="Calibri" w:cs="Calibri"/>
      <w:kern w:val="0"/>
      <w:sz w:val="22"/>
      <w:szCs w:val="22"/>
      <w:lang w:val="en-US" w:eastAsia="ja-JP"/>
    </w:rPr>
  </w:style>
  <w:style w:type="character" w:customStyle="1" w:styleId="HeaderChar16">
    <w:name w:val="Header Char16"/>
    <w:basedOn w:val="DefaultParagraphFont"/>
    <w:uiPriority w:val="99"/>
    <w:semiHidden/>
    <w:rPr>
      <w:rFonts w:ascii="Calibri" w:cs="Calibri"/>
      <w:kern w:val="0"/>
      <w:sz w:val="22"/>
      <w:szCs w:val="22"/>
      <w:lang w:val="en-US" w:eastAsia="ja-JP"/>
    </w:rPr>
  </w:style>
  <w:style w:type="character" w:customStyle="1" w:styleId="HeaderChar15">
    <w:name w:val="Header Char15"/>
    <w:basedOn w:val="DefaultParagraphFont"/>
    <w:uiPriority w:val="99"/>
    <w:semiHidden/>
    <w:rPr>
      <w:rFonts w:ascii="Calibri" w:cs="Calibri"/>
      <w:kern w:val="0"/>
      <w:sz w:val="22"/>
      <w:szCs w:val="22"/>
      <w:lang w:val="en-US" w:eastAsia="ja-JP"/>
    </w:rPr>
  </w:style>
  <w:style w:type="character" w:customStyle="1" w:styleId="HeaderChar14">
    <w:name w:val="Header Char14"/>
    <w:basedOn w:val="DefaultParagraphFont"/>
    <w:uiPriority w:val="99"/>
    <w:semiHidden/>
    <w:rPr>
      <w:rFonts w:ascii="Calibri" w:cs="Calibri"/>
      <w:kern w:val="0"/>
      <w:sz w:val="22"/>
      <w:szCs w:val="22"/>
      <w:lang w:val="en-US" w:eastAsia="ja-JP"/>
    </w:rPr>
  </w:style>
  <w:style w:type="character" w:customStyle="1" w:styleId="HeaderChar13">
    <w:name w:val="Header Char13"/>
    <w:basedOn w:val="DefaultParagraphFont"/>
    <w:uiPriority w:val="99"/>
    <w:semiHidden/>
    <w:rPr>
      <w:rFonts w:ascii="Calibri" w:cs="Calibri"/>
      <w:kern w:val="0"/>
      <w:sz w:val="22"/>
      <w:szCs w:val="22"/>
      <w:lang w:val="x-none" w:eastAsia="ja-JP"/>
    </w:rPr>
  </w:style>
  <w:style w:type="character" w:customStyle="1" w:styleId="HeaderChar12">
    <w:name w:val="Header Char12"/>
    <w:basedOn w:val="DefaultParagraphFont"/>
    <w:uiPriority w:val="99"/>
    <w:semiHidden/>
    <w:rPr>
      <w:rFonts w:ascii="Calibri" w:cs="Calibri"/>
      <w:kern w:val="0"/>
      <w:sz w:val="22"/>
      <w:szCs w:val="22"/>
      <w:lang w:val="x-none" w:eastAsia="ja-JP"/>
    </w:rPr>
  </w:style>
  <w:style w:type="character" w:customStyle="1" w:styleId="HeaderChar11">
    <w:name w:val="Header Char11"/>
    <w:basedOn w:val="DefaultParagraphFont"/>
    <w:uiPriority w:val="99"/>
    <w:semiHidden/>
    <w:rPr>
      <w:rFonts w:ascii="Calibri" w:cs="Calibri"/>
      <w:kern w:val="0"/>
      <w:sz w:val="22"/>
      <w:szCs w:val="22"/>
      <w:lang w:val="x-none" w:eastAsia="ja-JP"/>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paragraph" w:styleId="ListParagraph">
    <w:name w:val="List Paragraph"/>
    <w:basedOn w:val="Normal"/>
    <w:uiPriority w:val="34"/>
    <w:qFormat/>
    <w:pPr>
      <w:ind w:left="720"/>
    </w:pPr>
  </w:style>
  <w:style w:type="paragraph" w:customStyle="1" w:styleId="MDPI41tablecaption">
    <w:name w:val="MDPI_4.1_table_caption"/>
    <w:basedOn w:val="Normal"/>
    <w:unhideWhenUsed/>
    <w:qFormat/>
    <w:pPr>
      <w:adjustRightInd w:val="0"/>
      <w:snapToGrid w:val="0"/>
      <w:spacing w:before="240" w:after="120" w:line="260" w:lineRule="atLeast"/>
      <w:ind w:left="425" w:right="425"/>
      <w:jc w:val="both"/>
    </w:pPr>
    <w:rPr>
      <w:rFonts w:ascii="Palatino Linotype" w:cs="Palatino Linotype"/>
      <w:color w:val="000000"/>
      <w:sz w:val="18"/>
      <w:lang w:eastAsia="de-DE"/>
    </w:rPr>
  </w:style>
  <w:style w:type="paragraph" w:customStyle="1" w:styleId="MDPI42tablebody">
    <w:name w:val="MDPI_4.2_table_body"/>
    <w:unhideWhenUsed/>
    <w:qFormat/>
    <w:pPr>
      <w:adjustRightInd w:val="0"/>
      <w:snapToGrid w:val="0"/>
      <w:spacing w:after="0" w:line="260" w:lineRule="atLeast"/>
      <w:jc w:val="center"/>
    </w:pPr>
    <w:rPr>
      <w:rFonts w:ascii="Palatino Linotype" w:cs="Palatino Linotype"/>
      <w:color w:val="000000"/>
      <w:kern w:val="0"/>
      <w:sz w:val="20"/>
      <w:szCs w:val="20"/>
      <w:lang w:eastAsia="de-DE"/>
    </w:rPr>
  </w:style>
  <w:style w:type="paragraph" w:styleId="FootnoteText">
    <w:name w:val="footnote text"/>
    <w:aliases w:val="Footnote Text Char Char,Char,char"/>
    <w:basedOn w:val="Normal"/>
    <w:link w:val="FootnoteTextChar2"/>
    <w:uiPriority w:val="99"/>
    <w:unhideWhenUsed/>
    <w:pPr>
      <w:suppressAutoHyphens/>
      <w:spacing w:after="0" w:line="240" w:lineRule="auto"/>
    </w:pPr>
    <w:rPr>
      <w:rFonts w:cs="Times New Roman"/>
      <w:color w:val="00000A"/>
      <w:kern w:val="1"/>
      <w:sz w:val="24"/>
      <w:szCs w:val="24"/>
      <w:lang w:eastAsia="en-US"/>
    </w:rPr>
  </w:style>
  <w:style w:type="character" w:customStyle="1" w:styleId="FootnoteTextChar1">
    <w:name w:val="Footnote Text Char1"/>
    <w:basedOn w:val="DefaultParagraphFont"/>
    <w:uiPriority w:val="99"/>
    <w:semiHidden/>
    <w:rPr>
      <w:rFonts w:ascii="Calibri" w:cs="Calibri"/>
      <w:kern w:val="0"/>
      <w:sz w:val="20"/>
      <w:szCs w:val="20"/>
      <w:lang w:eastAsia="ja-JP"/>
    </w:rPr>
  </w:style>
  <w:style w:type="character" w:customStyle="1" w:styleId="FootnoteTextChar17">
    <w:name w:val="Footnote Text Char17"/>
    <w:basedOn w:val="DefaultParagraphFont"/>
    <w:uiPriority w:val="99"/>
    <w:semiHidden/>
    <w:rPr>
      <w:rFonts w:ascii="Calibri" w:cs="Calibri"/>
      <w:kern w:val="0"/>
      <w:sz w:val="20"/>
      <w:szCs w:val="20"/>
      <w:lang w:val="en-US" w:eastAsia="ja-JP"/>
    </w:rPr>
  </w:style>
  <w:style w:type="character" w:customStyle="1" w:styleId="FootnoteTextChar16">
    <w:name w:val="Footnote Text Char16"/>
    <w:basedOn w:val="DefaultParagraphFont"/>
    <w:uiPriority w:val="99"/>
    <w:semiHidden/>
    <w:rPr>
      <w:rFonts w:ascii="Calibri" w:cs="Calibri"/>
      <w:kern w:val="0"/>
      <w:sz w:val="20"/>
      <w:szCs w:val="20"/>
      <w:lang w:val="en-US" w:eastAsia="ja-JP"/>
    </w:rPr>
  </w:style>
  <w:style w:type="character" w:customStyle="1" w:styleId="FootnoteTextChar15">
    <w:name w:val="Footnote Text Char15"/>
    <w:basedOn w:val="DefaultParagraphFont"/>
    <w:uiPriority w:val="99"/>
    <w:semiHidden/>
    <w:rPr>
      <w:rFonts w:ascii="Calibri" w:cs="Calibri"/>
      <w:kern w:val="0"/>
      <w:sz w:val="20"/>
      <w:szCs w:val="20"/>
      <w:lang w:val="en-US" w:eastAsia="ja-JP"/>
    </w:rPr>
  </w:style>
  <w:style w:type="character" w:customStyle="1" w:styleId="FootnoteTextChar14">
    <w:name w:val="Footnote Text Char14"/>
    <w:basedOn w:val="DefaultParagraphFont"/>
    <w:uiPriority w:val="99"/>
    <w:semiHidden/>
    <w:rPr>
      <w:rFonts w:ascii="Calibri" w:cs="Calibri"/>
      <w:kern w:val="0"/>
      <w:sz w:val="20"/>
      <w:szCs w:val="20"/>
      <w:lang w:val="en-US" w:eastAsia="ja-JP"/>
    </w:rPr>
  </w:style>
  <w:style w:type="character" w:customStyle="1" w:styleId="FootnoteTextChar13">
    <w:name w:val="Footnote Text Char13"/>
    <w:basedOn w:val="DefaultParagraphFont"/>
    <w:uiPriority w:val="99"/>
    <w:semiHidden/>
    <w:rPr>
      <w:rFonts w:ascii="Calibri" w:cs="Calibri"/>
      <w:kern w:val="0"/>
      <w:sz w:val="20"/>
      <w:szCs w:val="20"/>
      <w:lang w:val="x-none" w:eastAsia="ja-JP"/>
    </w:rPr>
  </w:style>
  <w:style w:type="character" w:customStyle="1" w:styleId="FootnoteTextChar12">
    <w:name w:val="Footnote Text Char12"/>
    <w:basedOn w:val="DefaultParagraphFont"/>
    <w:uiPriority w:val="99"/>
    <w:semiHidden/>
    <w:rPr>
      <w:rFonts w:ascii="Calibri" w:cs="Calibri"/>
      <w:kern w:val="0"/>
      <w:sz w:val="20"/>
      <w:szCs w:val="20"/>
      <w:lang w:val="x-none" w:eastAsia="ja-JP"/>
    </w:rPr>
  </w:style>
  <w:style w:type="character" w:customStyle="1" w:styleId="FootnoteTextChar11">
    <w:name w:val="Footnote Text Char11"/>
    <w:basedOn w:val="DefaultParagraphFont"/>
    <w:uiPriority w:val="99"/>
    <w:semiHidden/>
    <w:rPr>
      <w:rFonts w:ascii="Calibri" w:cs="Calibri"/>
      <w:kern w:val="0"/>
      <w:sz w:val="20"/>
      <w:szCs w:val="20"/>
      <w:lang w:val="x-none" w:eastAsia="ja-JP"/>
    </w:rPr>
  </w:style>
  <w:style w:type="character" w:styleId="FootnoteReference">
    <w:name w:val="footnote reference"/>
    <w:basedOn w:val="DefaultParagraphFont"/>
    <w:uiPriority w:val="99"/>
    <w:unhideWhenUsed/>
    <w:rsid w:val="00D94430"/>
    <w:rPr>
      <w:rFonts w:cs="Times New Roman"/>
      <w:vertAlign w:val="superscript"/>
    </w:rPr>
  </w:style>
  <w:style w:type="character" w:customStyle="1" w:styleId="UnresolvedMention1">
    <w:name w:val="Unresolved Mention1"/>
    <w:basedOn w:val="DefaultParagraphFont"/>
    <w:uiPriority w:val="99"/>
    <w:semiHidden/>
    <w:unhideWhenUsed/>
    <w:rsid w:val="00EA6476"/>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1232A2"/>
    <w:rPr>
      <w:color w:val="605E5C"/>
      <w:shd w:val="clear" w:color="auto" w:fill="E1DFDD"/>
    </w:rPr>
  </w:style>
  <w:style w:type="table" w:styleId="TableGrid">
    <w:name w:val="Table Grid"/>
    <w:basedOn w:val="TableNormal"/>
    <w:uiPriority w:val="59"/>
    <w:qFormat/>
    <w:rsid w:val="006A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A6C13"/>
    <w:rPr>
      <w:rFonts w:eastAsia="Times New Roman" w:hAnsi="Calibri" w:cs="Times New Roman"/>
    </w:rPr>
  </w:style>
  <w:style w:type="table" w:customStyle="1" w:styleId="TableGridLight1">
    <w:name w:val="Table Grid Light1"/>
    <w:basedOn w:val="TableNormal"/>
    <w:uiPriority w:val="40"/>
    <w:rsid w:val="006A6C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6246">
      <w:marLeft w:val="0"/>
      <w:marRight w:val="0"/>
      <w:marTop w:val="0"/>
      <w:marBottom w:val="0"/>
      <w:divBdr>
        <w:top w:val="none" w:sz="0" w:space="0" w:color="auto"/>
        <w:left w:val="none" w:sz="0" w:space="0" w:color="auto"/>
        <w:bottom w:val="none" w:sz="0" w:space="0" w:color="auto"/>
        <w:right w:val="none" w:sz="0" w:space="0" w:color="auto"/>
      </w:divBdr>
    </w:div>
    <w:div w:id="75056247">
      <w:marLeft w:val="0"/>
      <w:marRight w:val="0"/>
      <w:marTop w:val="0"/>
      <w:marBottom w:val="0"/>
      <w:divBdr>
        <w:top w:val="none" w:sz="0" w:space="0" w:color="auto"/>
        <w:left w:val="none" w:sz="0" w:space="0" w:color="auto"/>
        <w:bottom w:val="none" w:sz="0" w:space="0" w:color="auto"/>
        <w:right w:val="none" w:sz="0" w:space="0" w:color="auto"/>
      </w:divBdr>
    </w:div>
    <w:div w:id="75056248">
      <w:marLeft w:val="0"/>
      <w:marRight w:val="0"/>
      <w:marTop w:val="0"/>
      <w:marBottom w:val="0"/>
      <w:divBdr>
        <w:top w:val="none" w:sz="0" w:space="0" w:color="auto"/>
        <w:left w:val="none" w:sz="0" w:space="0" w:color="auto"/>
        <w:bottom w:val="none" w:sz="0" w:space="0" w:color="auto"/>
        <w:right w:val="none" w:sz="0" w:space="0" w:color="auto"/>
      </w:divBdr>
    </w:div>
    <w:div w:id="75056249">
      <w:marLeft w:val="0"/>
      <w:marRight w:val="0"/>
      <w:marTop w:val="0"/>
      <w:marBottom w:val="0"/>
      <w:divBdr>
        <w:top w:val="none" w:sz="0" w:space="0" w:color="auto"/>
        <w:left w:val="none" w:sz="0" w:space="0" w:color="auto"/>
        <w:bottom w:val="none" w:sz="0" w:space="0" w:color="auto"/>
        <w:right w:val="none" w:sz="0" w:space="0" w:color="auto"/>
      </w:divBdr>
    </w:div>
    <w:div w:id="75056250">
      <w:marLeft w:val="0"/>
      <w:marRight w:val="0"/>
      <w:marTop w:val="0"/>
      <w:marBottom w:val="0"/>
      <w:divBdr>
        <w:top w:val="none" w:sz="0" w:space="0" w:color="auto"/>
        <w:left w:val="none" w:sz="0" w:space="0" w:color="auto"/>
        <w:bottom w:val="none" w:sz="0" w:space="0" w:color="auto"/>
        <w:right w:val="none" w:sz="0" w:space="0" w:color="auto"/>
      </w:divBdr>
    </w:div>
    <w:div w:id="75056251">
      <w:marLeft w:val="0"/>
      <w:marRight w:val="0"/>
      <w:marTop w:val="0"/>
      <w:marBottom w:val="0"/>
      <w:divBdr>
        <w:top w:val="none" w:sz="0" w:space="0" w:color="auto"/>
        <w:left w:val="none" w:sz="0" w:space="0" w:color="auto"/>
        <w:bottom w:val="none" w:sz="0" w:space="0" w:color="auto"/>
        <w:right w:val="none" w:sz="0" w:space="0" w:color="auto"/>
      </w:divBdr>
    </w:div>
    <w:div w:id="75056252">
      <w:marLeft w:val="0"/>
      <w:marRight w:val="0"/>
      <w:marTop w:val="0"/>
      <w:marBottom w:val="0"/>
      <w:divBdr>
        <w:top w:val="none" w:sz="0" w:space="0" w:color="auto"/>
        <w:left w:val="none" w:sz="0" w:space="0" w:color="auto"/>
        <w:bottom w:val="none" w:sz="0" w:space="0" w:color="auto"/>
        <w:right w:val="none" w:sz="0" w:space="0" w:color="auto"/>
      </w:divBdr>
    </w:div>
    <w:div w:id="75056253">
      <w:marLeft w:val="0"/>
      <w:marRight w:val="0"/>
      <w:marTop w:val="0"/>
      <w:marBottom w:val="0"/>
      <w:divBdr>
        <w:top w:val="none" w:sz="0" w:space="0" w:color="auto"/>
        <w:left w:val="none" w:sz="0" w:space="0" w:color="auto"/>
        <w:bottom w:val="none" w:sz="0" w:space="0" w:color="auto"/>
        <w:right w:val="none" w:sz="0" w:space="0" w:color="auto"/>
      </w:divBdr>
    </w:div>
    <w:div w:id="75056254">
      <w:marLeft w:val="0"/>
      <w:marRight w:val="0"/>
      <w:marTop w:val="0"/>
      <w:marBottom w:val="0"/>
      <w:divBdr>
        <w:top w:val="none" w:sz="0" w:space="0" w:color="auto"/>
        <w:left w:val="none" w:sz="0" w:space="0" w:color="auto"/>
        <w:bottom w:val="none" w:sz="0" w:space="0" w:color="auto"/>
        <w:right w:val="none" w:sz="0" w:space="0" w:color="auto"/>
      </w:divBdr>
    </w:div>
    <w:div w:id="75056255">
      <w:marLeft w:val="0"/>
      <w:marRight w:val="0"/>
      <w:marTop w:val="0"/>
      <w:marBottom w:val="0"/>
      <w:divBdr>
        <w:top w:val="none" w:sz="0" w:space="0" w:color="auto"/>
        <w:left w:val="none" w:sz="0" w:space="0" w:color="auto"/>
        <w:bottom w:val="none" w:sz="0" w:space="0" w:color="auto"/>
        <w:right w:val="none" w:sz="0" w:space="0" w:color="auto"/>
      </w:divBdr>
    </w:div>
    <w:div w:id="75056256">
      <w:marLeft w:val="0"/>
      <w:marRight w:val="0"/>
      <w:marTop w:val="0"/>
      <w:marBottom w:val="0"/>
      <w:divBdr>
        <w:top w:val="none" w:sz="0" w:space="0" w:color="auto"/>
        <w:left w:val="none" w:sz="0" w:space="0" w:color="auto"/>
        <w:bottom w:val="none" w:sz="0" w:space="0" w:color="auto"/>
        <w:right w:val="none" w:sz="0" w:space="0" w:color="auto"/>
      </w:divBdr>
    </w:div>
    <w:div w:id="75056257">
      <w:marLeft w:val="0"/>
      <w:marRight w:val="0"/>
      <w:marTop w:val="0"/>
      <w:marBottom w:val="0"/>
      <w:divBdr>
        <w:top w:val="none" w:sz="0" w:space="0" w:color="auto"/>
        <w:left w:val="none" w:sz="0" w:space="0" w:color="auto"/>
        <w:bottom w:val="none" w:sz="0" w:space="0" w:color="auto"/>
        <w:right w:val="none" w:sz="0" w:space="0" w:color="auto"/>
      </w:divBdr>
    </w:div>
    <w:div w:id="75056258">
      <w:marLeft w:val="0"/>
      <w:marRight w:val="0"/>
      <w:marTop w:val="0"/>
      <w:marBottom w:val="0"/>
      <w:divBdr>
        <w:top w:val="none" w:sz="0" w:space="0" w:color="auto"/>
        <w:left w:val="none" w:sz="0" w:space="0" w:color="auto"/>
        <w:bottom w:val="none" w:sz="0" w:space="0" w:color="auto"/>
        <w:right w:val="none" w:sz="0" w:space="0" w:color="auto"/>
      </w:divBdr>
    </w:div>
    <w:div w:id="75056259">
      <w:marLeft w:val="0"/>
      <w:marRight w:val="0"/>
      <w:marTop w:val="0"/>
      <w:marBottom w:val="0"/>
      <w:divBdr>
        <w:top w:val="none" w:sz="0" w:space="0" w:color="auto"/>
        <w:left w:val="none" w:sz="0" w:space="0" w:color="auto"/>
        <w:bottom w:val="none" w:sz="0" w:space="0" w:color="auto"/>
        <w:right w:val="none" w:sz="0" w:space="0" w:color="auto"/>
      </w:divBdr>
    </w:div>
    <w:div w:id="75056260">
      <w:marLeft w:val="0"/>
      <w:marRight w:val="0"/>
      <w:marTop w:val="0"/>
      <w:marBottom w:val="0"/>
      <w:divBdr>
        <w:top w:val="none" w:sz="0" w:space="0" w:color="auto"/>
        <w:left w:val="none" w:sz="0" w:space="0" w:color="auto"/>
        <w:bottom w:val="none" w:sz="0" w:space="0" w:color="auto"/>
        <w:right w:val="none" w:sz="0" w:space="0" w:color="auto"/>
      </w:divBdr>
    </w:div>
    <w:div w:id="75056261">
      <w:marLeft w:val="0"/>
      <w:marRight w:val="0"/>
      <w:marTop w:val="0"/>
      <w:marBottom w:val="0"/>
      <w:divBdr>
        <w:top w:val="none" w:sz="0" w:space="0" w:color="auto"/>
        <w:left w:val="none" w:sz="0" w:space="0" w:color="auto"/>
        <w:bottom w:val="none" w:sz="0" w:space="0" w:color="auto"/>
        <w:right w:val="none" w:sz="0" w:space="0" w:color="auto"/>
      </w:divBdr>
    </w:div>
    <w:div w:id="75056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budianto_uin@radenfatah.ac.i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bukhori_uin@radenfatah.ac.i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ukhori_uin@radenfatah.ac.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zal@stebisigm.ac.id" TargetMode="External"/><Relationship Id="rId4" Type="http://schemas.openxmlformats.org/officeDocument/2006/relationships/webSettings" Target="webSettings.xml"/><Relationship Id="rId9" Type="http://schemas.openxmlformats.org/officeDocument/2006/relationships/hyperlink" Target="mailto:erniwati_uin@radenfatah.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7BE6BB-DC7D-4332-9924-CFD19D340562}">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3988383423"/>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AB9E-3F71-4F47-ADA3-51F62064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Gatot</cp:lastModifiedBy>
  <cp:revision>11</cp:revision>
  <cp:lastPrinted>2025-12-20T05:12:00Z</cp:lastPrinted>
  <dcterms:created xsi:type="dcterms:W3CDTF">2025-11-19T03:17:00Z</dcterms:created>
  <dcterms:modified xsi:type="dcterms:W3CDTF">2025-12-20T05:18:00Z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8a61d70d-2916-352b-b599-61dc425e3cb6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