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C90" w:rsidRDefault="00392C90" w:rsidP="002A7993">
      <w:pPr>
        <w:spacing w:line="276" w:lineRule="auto"/>
        <w:jc w:val="center"/>
        <w:rPr>
          <w:rFonts w:ascii="Times New Arabic" w:hAnsi="Times New Arabic" w:cs="Times New Roman"/>
          <w:b/>
          <w:bCs/>
          <w:szCs w:val="24"/>
          <w:lang w:val="en-US"/>
        </w:rPr>
      </w:pPr>
      <w:r>
        <w:rPr>
          <w:rFonts w:ascii="Times New Arabic" w:hAnsi="Times New Arabic" w:cs="Times New Roman"/>
          <w:b/>
          <w:bCs/>
          <w:szCs w:val="24"/>
          <w:lang w:val="en-US"/>
        </w:rPr>
        <w:t>PERLINDUNGAN HUKUM BAGI PEKERJA PERJANJIAN KERJA WAKTU TERTENTU (</w:t>
      </w:r>
      <w:r w:rsidR="008533B1">
        <w:rPr>
          <w:rFonts w:ascii="Times New Arabic" w:hAnsi="Times New Arabic" w:cs="Times New Roman"/>
          <w:b/>
          <w:bCs/>
          <w:szCs w:val="24"/>
          <w:lang w:val="en-US"/>
        </w:rPr>
        <w:t>PKWT) DALAM UNDANG-UNDANG NOMOR 11 TAHUN 2020 TENTANG CIPTA KERJA PERSPEKTIF FIKIH HAM MENURUT ABDULLAHI AHMED AN-NA’IM</w:t>
      </w:r>
    </w:p>
    <w:p w:rsidR="008533B1" w:rsidRDefault="008533B1" w:rsidP="00E77617">
      <w:pPr>
        <w:spacing w:line="276" w:lineRule="auto"/>
        <w:jc w:val="center"/>
        <w:rPr>
          <w:rFonts w:ascii="Times New Arabic" w:hAnsi="Times New Arabic" w:cs="Times New Roman"/>
          <w:b/>
          <w:bCs/>
          <w:szCs w:val="24"/>
          <w:lang w:val="en-US"/>
        </w:rPr>
      </w:pPr>
    </w:p>
    <w:p w:rsidR="00392C90" w:rsidRPr="00392C90" w:rsidRDefault="00392C90" w:rsidP="00E77617">
      <w:pPr>
        <w:spacing w:line="276" w:lineRule="auto"/>
        <w:jc w:val="center"/>
        <w:rPr>
          <w:rFonts w:ascii="Times New Arabic" w:hAnsi="Times New Arabic" w:cs="Times New Roman"/>
          <w:b/>
          <w:bCs/>
          <w:i/>
          <w:iCs/>
          <w:szCs w:val="24"/>
          <w:lang w:val="en-US"/>
        </w:rPr>
      </w:pPr>
      <w:r w:rsidRPr="00392C90">
        <w:rPr>
          <w:rFonts w:ascii="Times New Arabic" w:hAnsi="Times New Arabic" w:cs="Times New Roman"/>
          <w:b/>
          <w:bCs/>
          <w:i/>
          <w:iCs/>
          <w:szCs w:val="24"/>
          <w:lang w:val="en-US"/>
        </w:rPr>
        <w:t>Muhammad Makhmuri</w:t>
      </w:r>
    </w:p>
    <w:p w:rsidR="00392C90" w:rsidRDefault="00392C90" w:rsidP="00E77617">
      <w:pPr>
        <w:spacing w:line="276" w:lineRule="auto"/>
        <w:jc w:val="center"/>
        <w:rPr>
          <w:rFonts w:ascii="Times New Arabic" w:hAnsi="Times New Arabic" w:cs="Times New Roman"/>
          <w:szCs w:val="24"/>
          <w:lang w:val="en-US"/>
        </w:rPr>
      </w:pPr>
      <w:r w:rsidRPr="00392C90">
        <w:rPr>
          <w:rFonts w:ascii="Times New Arabic" w:hAnsi="Times New Arabic" w:cs="Times New Roman"/>
          <w:szCs w:val="24"/>
          <w:lang w:val="en-US"/>
        </w:rPr>
        <w:t>Universitas Islam Negeri Maulana Malik Ibrahim Malang</w:t>
      </w:r>
    </w:p>
    <w:p w:rsidR="008533B1" w:rsidRPr="008533B1" w:rsidRDefault="008533B1" w:rsidP="00E77617">
      <w:pPr>
        <w:spacing w:line="276" w:lineRule="auto"/>
        <w:jc w:val="center"/>
        <w:rPr>
          <w:rFonts w:cstheme="majorBidi"/>
        </w:rPr>
      </w:pPr>
      <w:r>
        <w:rPr>
          <w:rFonts w:ascii="Times New Arabic" w:hAnsi="Times New Arabic" w:cs="Times New Roman"/>
          <w:szCs w:val="24"/>
          <w:lang w:val="en-US"/>
        </w:rPr>
        <w:t xml:space="preserve">Email: </w:t>
      </w:r>
      <w:hyperlink r:id="rId8" w:history="1">
        <w:r w:rsidR="00E77617" w:rsidRPr="00865A9D">
          <w:rPr>
            <w:rStyle w:val="Hyperlink"/>
            <w:rFonts w:cstheme="majorBidi"/>
          </w:rPr>
          <w:t>mahmurim23@gmail.com</w:t>
        </w:r>
      </w:hyperlink>
      <w:r w:rsidR="00E77617">
        <w:rPr>
          <w:rFonts w:cstheme="majorBidi"/>
        </w:rPr>
        <w:t xml:space="preserve"> 082132103452</w:t>
      </w:r>
    </w:p>
    <w:p w:rsidR="00392C90" w:rsidRPr="00392C90" w:rsidRDefault="00392C90" w:rsidP="00E77617">
      <w:pPr>
        <w:spacing w:line="276" w:lineRule="auto"/>
        <w:jc w:val="center"/>
        <w:rPr>
          <w:rFonts w:ascii="Times New Arabic" w:hAnsi="Times New Arabic" w:cs="Times New Roman"/>
          <w:b/>
          <w:bCs/>
          <w:i/>
          <w:iCs/>
          <w:szCs w:val="24"/>
          <w:lang w:val="en-US"/>
        </w:rPr>
      </w:pPr>
      <w:r w:rsidRPr="00392C90">
        <w:rPr>
          <w:rFonts w:ascii="Times New Arabic" w:hAnsi="Times New Arabic" w:cs="Times New Roman"/>
          <w:b/>
          <w:bCs/>
          <w:i/>
          <w:iCs/>
          <w:szCs w:val="24"/>
          <w:lang w:val="en-US"/>
        </w:rPr>
        <w:t>Mahbub Ainur Rofiq</w:t>
      </w:r>
    </w:p>
    <w:p w:rsidR="00392C90" w:rsidRDefault="00392C90" w:rsidP="00E77617">
      <w:pPr>
        <w:spacing w:line="276" w:lineRule="auto"/>
        <w:jc w:val="center"/>
        <w:rPr>
          <w:rFonts w:ascii="Times New Arabic" w:hAnsi="Times New Arabic" w:cs="Times New Roman"/>
          <w:szCs w:val="24"/>
          <w:lang w:val="en-US"/>
        </w:rPr>
      </w:pPr>
      <w:r w:rsidRPr="00392C90">
        <w:rPr>
          <w:rFonts w:ascii="Times New Arabic" w:hAnsi="Times New Arabic" w:cs="Times New Roman"/>
          <w:szCs w:val="24"/>
          <w:lang w:val="en-US"/>
        </w:rPr>
        <w:t>Universitas Islam Negeri Maulana Malik Ibrahim Malang</w:t>
      </w:r>
    </w:p>
    <w:p w:rsidR="001C1C5F" w:rsidRPr="00392C90" w:rsidRDefault="001C1C5F" w:rsidP="00E77617">
      <w:pPr>
        <w:spacing w:line="276" w:lineRule="auto"/>
        <w:jc w:val="center"/>
        <w:rPr>
          <w:rFonts w:ascii="Times New Arabic" w:hAnsi="Times New Arabic" w:cs="Times New Roman"/>
          <w:szCs w:val="24"/>
          <w:lang w:val="en-US"/>
        </w:rPr>
      </w:pPr>
      <w:r>
        <w:rPr>
          <w:rFonts w:ascii="Times New Arabic" w:hAnsi="Times New Arabic" w:cs="Times New Roman"/>
          <w:szCs w:val="24"/>
          <w:lang w:val="en-US"/>
        </w:rPr>
        <w:t xml:space="preserve">Email: </w:t>
      </w:r>
      <w:r w:rsidRPr="001C1C5F">
        <w:rPr>
          <w:rFonts w:ascii="Times New Arabic" w:hAnsi="Times New Arabic" w:cs="Times New Roman"/>
          <w:szCs w:val="24"/>
          <w:lang w:val="en-US"/>
        </w:rPr>
        <w:t>mahbub@</w:t>
      </w:r>
      <w:r>
        <w:rPr>
          <w:rFonts w:cstheme="majorBidi"/>
          <w:szCs w:val="24"/>
          <w:lang w:val="en-US"/>
        </w:rPr>
        <w:t>@</w:t>
      </w:r>
      <w:r w:rsidRPr="001C1C5F">
        <w:rPr>
          <w:rFonts w:ascii="Times New Arabic" w:hAnsi="Times New Arabic" w:cs="Times New Roman"/>
          <w:szCs w:val="24"/>
          <w:lang w:val="en-US"/>
        </w:rPr>
        <w:t>uin-malang.ac.id</w:t>
      </w:r>
      <w:r w:rsidR="00E77617">
        <w:rPr>
          <w:rFonts w:ascii="Times New Arabic" w:hAnsi="Times New Arabic" w:cs="Times New Roman"/>
          <w:szCs w:val="24"/>
          <w:lang w:val="en-US"/>
        </w:rPr>
        <w:t xml:space="preserve"> 081333088482</w:t>
      </w:r>
    </w:p>
    <w:p w:rsidR="00392C90" w:rsidRDefault="008533B1" w:rsidP="00E77617">
      <w:pPr>
        <w:spacing w:line="276" w:lineRule="auto"/>
        <w:rPr>
          <w:rFonts w:ascii="Times New Arabic" w:hAnsi="Times New Arabic" w:cs="Times New Roman"/>
          <w:b/>
          <w:bCs/>
          <w:szCs w:val="24"/>
          <w:lang w:val="en-US"/>
        </w:rPr>
      </w:pPr>
      <w:r>
        <w:rPr>
          <w:rFonts w:ascii="Times New Arabic" w:hAnsi="Times New Arabic" w:cs="Times New Roman"/>
          <w:b/>
          <w:bCs/>
          <w:szCs w:val="24"/>
          <w:lang w:val="en-US"/>
        </w:rPr>
        <w:t>Abstract</w:t>
      </w:r>
    </w:p>
    <w:p w:rsidR="00392C90" w:rsidRDefault="008533B1" w:rsidP="00E77617">
      <w:pPr>
        <w:spacing w:line="276" w:lineRule="auto"/>
        <w:jc w:val="both"/>
        <w:rPr>
          <w:rFonts w:ascii="Times New Arabic" w:hAnsi="Times New Arabic"/>
        </w:rPr>
      </w:pPr>
      <w:r w:rsidRPr="00B64C64">
        <w:rPr>
          <w:rFonts w:ascii="Times New Arabic" w:hAnsi="Times New Arabic"/>
        </w:rPr>
        <w:t>The issue of legal protection for workers with PKWT status for their basic rights to achieve a prosperous standard of living is still a concern, even until the birth of a new policy through Law Number 11 of 2020 concerning Job Creation and its implementing regulations. In line with this, legal protection of basic human rights is crucial</w:t>
      </w:r>
      <w:r w:rsidR="009E7542" w:rsidRPr="00B64C64">
        <w:rPr>
          <w:rFonts w:ascii="Times New Arabic" w:hAnsi="Times New Arabic"/>
        </w:rPr>
        <w:t>,</w:t>
      </w:r>
      <w:r w:rsidRPr="00B64C64">
        <w:rPr>
          <w:rFonts w:ascii="Times New Arabic" w:hAnsi="Times New Arabic"/>
        </w:rPr>
        <w:t xml:space="preserve"> as in Abdullahi Ahmed an-Na'im's human rights fiqh thought. The purpose of this study is to find out in-depth how the legal protection for PKWT workers is in the Job Creation Act and the implementing rules from the perspective of human rights fiqh according to Abdullahi Ahmed an-Na'im. This research is normative</w:t>
      </w:r>
      <w:r w:rsidR="00B64C64">
        <w:rPr>
          <w:rFonts w:ascii="Times New Arabic" w:hAnsi="Times New Arabic"/>
        </w:rPr>
        <w:t xml:space="preserve"> legal research with a statute approach</w:t>
      </w:r>
      <w:r w:rsidRPr="00B64C64">
        <w:rPr>
          <w:rFonts w:ascii="Times New Arabic" w:hAnsi="Times New Arabic"/>
        </w:rPr>
        <w:t xml:space="preserve"> and conceptual approach. The data in this study are secondary in the form of primary, secondary, and tertiary legal materials. The results of this study indicate that the Job Creation Act and its implementing regulations have not fully provided legal protection for PKWT workers, especially in terms of PKWT based on the completion of a certain job and the elimination of legal consequences if the PKWT is made unwritten. The provisions in Abdullahi Ahmad an-Na'im's human rights fiqh concept do not reflect the spirit of reciprocity and do not fulfill the right to life and freedom, so the values </w:t>
      </w:r>
      <w:r w:rsidRPr="00B64C64">
        <w:rPr>
          <w:rFonts w:ascii="Times New Roman" w:hAnsi="Times New Roman" w:cs="Times New Roman"/>
        </w:rPr>
        <w:t>​​</w:t>
      </w:r>
      <w:r w:rsidRPr="00B64C64">
        <w:rPr>
          <w:rFonts w:ascii="Times New Arabic" w:hAnsi="Times New Arabic"/>
        </w:rPr>
        <w:t>of sharia humanism as when they were revealed in Mecca have not been embodied in the policy of PKWT workers in the new regulation.</w:t>
      </w:r>
    </w:p>
    <w:p w:rsidR="002A7993" w:rsidRDefault="002A7993" w:rsidP="00E77617">
      <w:pPr>
        <w:spacing w:line="276" w:lineRule="auto"/>
        <w:jc w:val="both"/>
        <w:rPr>
          <w:rFonts w:ascii="Times New Arabic" w:hAnsi="Times New Arabic"/>
        </w:rPr>
      </w:pPr>
    </w:p>
    <w:p w:rsidR="002A7993" w:rsidRPr="00B64C64" w:rsidRDefault="002A7993" w:rsidP="00E77617">
      <w:pPr>
        <w:spacing w:line="276" w:lineRule="auto"/>
        <w:jc w:val="both"/>
        <w:rPr>
          <w:rFonts w:ascii="Times New Arabic" w:hAnsi="Times New Arabic"/>
        </w:rPr>
      </w:pPr>
    </w:p>
    <w:p w:rsidR="00B34792" w:rsidRPr="00695919" w:rsidRDefault="00B34792" w:rsidP="00E77617">
      <w:pPr>
        <w:spacing w:line="276" w:lineRule="auto"/>
        <w:jc w:val="both"/>
        <w:rPr>
          <w:rFonts w:ascii="Times New Arabic" w:hAnsi="Times New Arabic" w:cs="Times New Roman"/>
          <w:b/>
          <w:bCs/>
          <w:szCs w:val="24"/>
          <w:lang w:val="en-US"/>
        </w:rPr>
      </w:pPr>
      <w:r w:rsidRPr="00695919">
        <w:rPr>
          <w:rFonts w:ascii="Times New Arabic" w:hAnsi="Times New Arabic" w:cs="Times New Roman"/>
          <w:b/>
          <w:bCs/>
          <w:szCs w:val="24"/>
          <w:lang w:val="en-US"/>
        </w:rPr>
        <w:lastRenderedPageBreak/>
        <w:t>Abstrak</w:t>
      </w:r>
    </w:p>
    <w:p w:rsidR="00B34792" w:rsidRPr="00695919" w:rsidRDefault="00B34792" w:rsidP="00E77617">
      <w:pPr>
        <w:spacing w:line="276" w:lineRule="auto"/>
        <w:jc w:val="both"/>
        <w:rPr>
          <w:rFonts w:ascii="Times New Arabic" w:hAnsi="Times New Arabic" w:cs="Times New Roman"/>
          <w:szCs w:val="24"/>
          <w:lang w:val="en-US"/>
        </w:rPr>
      </w:pPr>
      <w:r w:rsidRPr="00695919">
        <w:rPr>
          <w:rFonts w:ascii="Times New Arabic" w:hAnsi="Times New Arabic" w:cs="Times New Roman"/>
          <w:szCs w:val="24"/>
          <w:lang w:val="en-US"/>
        </w:rPr>
        <w:t xml:space="preserve">Persoalan perlindungan hukum bagi pekerja status PKWT </w:t>
      </w:r>
      <w:r w:rsidR="000164E0" w:rsidRPr="00695919">
        <w:rPr>
          <w:rFonts w:ascii="Times New Arabic" w:hAnsi="Times New Arabic" w:cs="Times New Roman"/>
          <w:szCs w:val="24"/>
          <w:lang w:val="en-US"/>
        </w:rPr>
        <w:t>atas hak-hak dasarnya guna</w:t>
      </w:r>
      <w:r w:rsidRPr="00695919">
        <w:rPr>
          <w:rFonts w:ascii="Times New Arabic" w:hAnsi="Times New Arabic" w:cs="Times New Roman"/>
          <w:szCs w:val="24"/>
          <w:lang w:val="en-US"/>
        </w:rPr>
        <w:t xml:space="preserve"> mencapai ta</w:t>
      </w:r>
      <w:r w:rsidR="000164E0" w:rsidRPr="00695919">
        <w:rPr>
          <w:rFonts w:ascii="Times New Arabic" w:hAnsi="Times New Arabic" w:cs="Times New Roman"/>
          <w:szCs w:val="24"/>
          <w:lang w:val="en-US"/>
        </w:rPr>
        <w:t>raf kehidupan yang sejahtera ma</w:t>
      </w:r>
      <w:r w:rsidRPr="00695919">
        <w:rPr>
          <w:rFonts w:ascii="Times New Arabic" w:hAnsi="Times New Arabic" w:cs="Times New Roman"/>
          <w:szCs w:val="24"/>
          <w:lang w:val="en-US"/>
        </w:rPr>
        <w:t>sih terbilang memprihatinkan, bahkan sampai pada lahirnya kebijakan baru melalui Undang-Undang Nomor 11 tahun 2020 tentang Cipta Kerja dan aturan</w:t>
      </w:r>
      <w:r w:rsidR="000164E0" w:rsidRPr="00695919">
        <w:rPr>
          <w:rFonts w:ascii="Times New Arabic" w:hAnsi="Times New Arabic" w:cs="Times New Roman"/>
          <w:szCs w:val="24"/>
          <w:lang w:val="en-US"/>
        </w:rPr>
        <w:t xml:space="preserve"> pelaksananya. Sejalan dengan hal itu</w:t>
      </w:r>
      <w:r w:rsidRPr="00695919">
        <w:rPr>
          <w:rFonts w:ascii="Times New Arabic" w:hAnsi="Times New Arabic" w:cs="Times New Roman"/>
          <w:szCs w:val="24"/>
          <w:lang w:val="en-US"/>
        </w:rPr>
        <w:t xml:space="preserve">, perlindungan hukum terhadap hak-hak dasar manusia adalah hal yang krusial seperti halnya dalam pemikiran fikih HAM Abdullahi Ahmed an-Na’im. Tujuan penelitian ini untuk mengetahui secara mendalam bagaimana perlindungan hukum terhadap pekerja PKWT dalam Undang-Undang Cipta Kerja dan aturan pelaksananya perspektif fikih HAM menurut Abdullahi Ahmed an-Na’im. Penelitian ini adalah penelitian hukum normatif dengan pendekatan perundang-undangan dan konseptual. Data dalam penelitian ini berupa data sekunder berupa bahan hukum primer, sekunder, dan tertier. Hasil penelitian ini menujukan bahwa Undang-Undang Cipta Kerja dan aturan pelaksananya belum sepenuhnya memberikan perlindungan hukum terhadap pekerja PKWT terutama dalam ketentuan PKWT berdasarakan selesainya suatu pekerjaan tertetntu dan pengapusan konsekuensi hukum apabila PKWT dibuat secara tidak tertulis. Ketentuan tersebut dalam konsep fikih HAM Abdullahi Ahmad an-Na’im justru belum mencerminkan spirit resiprositas dan tidak memenuhi hak untuk hidup dan bebas, sehingga nilai-nilai humanisme syariah seperti saat diturunkan di Makkah belum terjewantahkan dalam kebijakan pekerja PKWT pada regulasi baru tersebut.  </w:t>
      </w:r>
    </w:p>
    <w:p w:rsidR="00D118B2" w:rsidRPr="00695919" w:rsidRDefault="00B34792" w:rsidP="00F93E5C">
      <w:pPr>
        <w:spacing w:line="276" w:lineRule="auto"/>
        <w:jc w:val="both"/>
        <w:rPr>
          <w:rFonts w:ascii="Times New Arabic" w:hAnsi="Times New Arabic" w:cs="Times New Roman"/>
          <w:b/>
          <w:bCs/>
          <w:szCs w:val="24"/>
          <w:lang w:val="en-US"/>
        </w:rPr>
      </w:pPr>
      <w:r w:rsidRPr="00695919">
        <w:rPr>
          <w:rFonts w:ascii="Times New Arabic" w:hAnsi="Times New Arabic" w:cs="Times New Roman"/>
          <w:b/>
          <w:bCs/>
          <w:szCs w:val="24"/>
          <w:lang w:val="en-US"/>
        </w:rPr>
        <w:t>Keywords: Perlindungan Hukum; Pekerja PKWT; Undang-Undang Cipta Kerja; Fikih HAM Abdullahi Ahmed an-Na’im</w:t>
      </w:r>
      <w:r w:rsidR="00D118B2" w:rsidRPr="00695919">
        <w:rPr>
          <w:rFonts w:ascii="Times New Arabic" w:hAnsi="Times New Arabic" w:cs="Times New Roman"/>
          <w:b/>
          <w:bCs/>
          <w:szCs w:val="24"/>
          <w:lang w:val="en-US"/>
        </w:rPr>
        <w:t>.</w:t>
      </w:r>
    </w:p>
    <w:p w:rsidR="00D118B2" w:rsidRPr="00695919" w:rsidRDefault="00D118B2" w:rsidP="00E77617">
      <w:pPr>
        <w:spacing w:line="276" w:lineRule="auto"/>
        <w:jc w:val="both"/>
        <w:rPr>
          <w:rFonts w:ascii="Times New Arabic" w:hAnsi="Times New Arabic" w:cs="Times New Roman"/>
          <w:b/>
          <w:bCs/>
          <w:szCs w:val="24"/>
          <w:lang w:val="en-US"/>
        </w:rPr>
      </w:pPr>
      <w:r w:rsidRPr="00695919">
        <w:rPr>
          <w:rFonts w:ascii="Times New Arabic" w:hAnsi="Times New Arabic" w:cs="Times New Roman"/>
          <w:b/>
          <w:bCs/>
          <w:szCs w:val="24"/>
          <w:lang w:val="en-US"/>
        </w:rPr>
        <w:t>PENDAHULUAN</w:t>
      </w:r>
    </w:p>
    <w:p w:rsidR="002047E8" w:rsidRPr="00695919" w:rsidRDefault="0043071E" w:rsidP="00E77617">
      <w:pPr>
        <w:spacing w:line="276" w:lineRule="auto"/>
        <w:jc w:val="both"/>
        <w:rPr>
          <w:rFonts w:ascii="Times New Arabic" w:hAnsi="Times New Arabic" w:cs="Times New Roman"/>
          <w:szCs w:val="24"/>
          <w:lang w:val="en-US"/>
        </w:rPr>
      </w:pPr>
      <w:r w:rsidRPr="00695919">
        <w:rPr>
          <w:rFonts w:ascii="Times New Arabic" w:hAnsi="Times New Arabic" w:cs="Times New Roman"/>
          <w:b/>
          <w:bCs/>
          <w:szCs w:val="24"/>
          <w:lang w:val="en-US"/>
        </w:rPr>
        <w:tab/>
      </w:r>
      <w:r w:rsidRPr="00695919">
        <w:rPr>
          <w:rFonts w:ascii="Times New Arabic" w:hAnsi="Times New Arabic" w:cs="Times New Roman"/>
          <w:szCs w:val="24"/>
          <w:lang w:val="en-US"/>
        </w:rPr>
        <w:t>Pekerja sebagai instrumen pembangunan nasional,</w:t>
      </w:r>
      <w:r w:rsidR="00BD0BA3" w:rsidRPr="00695919">
        <w:rPr>
          <w:rStyle w:val="FootnoteReference"/>
          <w:rFonts w:ascii="Times New Arabic" w:hAnsi="Times New Arabic" w:cs="Times New Roman"/>
          <w:szCs w:val="24"/>
          <w:lang w:val="en-US"/>
        </w:rPr>
        <w:footnoteReference w:id="1"/>
      </w:r>
      <w:r w:rsidRPr="00695919">
        <w:rPr>
          <w:rFonts w:ascii="Times New Arabic" w:hAnsi="Times New Arabic" w:cs="Times New Roman"/>
          <w:szCs w:val="24"/>
          <w:lang w:val="en-US"/>
        </w:rPr>
        <w:t xml:space="preserve"> perlu diperhatikan hak-hak dasarnya agar mencapai taraf kesejahteraan hidup, seperti halnya amanat Pasal 27 Ayat (2) Undang-Undang Dasar Negara Republik Indonesia Tahun 1945 (UUD NRI 1945) yang menyebutkan bahwa </w:t>
      </w:r>
      <w:r w:rsidR="0043292B" w:rsidRPr="00695919">
        <w:rPr>
          <w:rFonts w:ascii="Times New Arabic" w:hAnsi="Times New Arabic" w:cs="Times New Roman"/>
          <w:szCs w:val="24"/>
          <w:lang w:val="en-US"/>
        </w:rPr>
        <w:t>tiap-tiap warga negara berhak atas pekerjaan dan penghidupan yang layak menurut kemanusiaan.</w:t>
      </w:r>
      <w:r w:rsidR="00BD0BA3" w:rsidRPr="00695919">
        <w:rPr>
          <w:rFonts w:ascii="Times New Arabic" w:hAnsi="Times New Arabic" w:cs="Times New Roman"/>
          <w:szCs w:val="24"/>
          <w:lang w:val="en-US"/>
        </w:rPr>
        <w:t xml:space="preserve"> Sebagai usaha memberikan perlindungan hukum bagi pekerja</w:t>
      </w:r>
      <w:r w:rsidR="00031423" w:rsidRPr="00695919">
        <w:rPr>
          <w:rFonts w:ascii="Times New Arabic" w:hAnsi="Times New Arabic" w:cs="Times New Roman"/>
          <w:szCs w:val="24"/>
          <w:lang w:val="en-US"/>
        </w:rPr>
        <w:t>, di</w:t>
      </w:r>
      <w:r w:rsidR="00BD0BA3" w:rsidRPr="00695919">
        <w:rPr>
          <w:rFonts w:ascii="Times New Arabic" w:hAnsi="Times New Arabic" w:cs="Times New Roman"/>
          <w:szCs w:val="24"/>
          <w:lang w:val="en-US"/>
        </w:rPr>
        <w:t>buatlah r</w:t>
      </w:r>
      <w:r w:rsidR="00031423" w:rsidRPr="00695919">
        <w:rPr>
          <w:rFonts w:ascii="Times New Arabic" w:hAnsi="Times New Arabic" w:cs="Times New Roman"/>
          <w:szCs w:val="24"/>
          <w:lang w:val="en-US"/>
        </w:rPr>
        <w:t>egulasi tentang ketenagakerjaan</w:t>
      </w:r>
      <w:r w:rsidR="0043292B" w:rsidRPr="00695919">
        <w:rPr>
          <w:rFonts w:ascii="Times New Arabic" w:hAnsi="Times New Arabic" w:cs="Times New Roman"/>
          <w:szCs w:val="24"/>
          <w:lang w:val="en-US"/>
        </w:rPr>
        <w:t xml:space="preserve"> </w:t>
      </w:r>
      <w:r w:rsidR="00031423" w:rsidRPr="00695919">
        <w:rPr>
          <w:rFonts w:ascii="Times New Arabic" w:hAnsi="Times New Arabic" w:cs="Times New Roman"/>
          <w:szCs w:val="24"/>
          <w:lang w:val="en-US"/>
        </w:rPr>
        <w:t>yang merupakan bentuk intervensi pemerintah.</w:t>
      </w:r>
      <w:r w:rsidR="00072D4C" w:rsidRPr="00695919">
        <w:rPr>
          <w:rStyle w:val="FootnoteReference"/>
          <w:rFonts w:ascii="Times New Arabic" w:hAnsi="Times New Arabic" w:cs="Times New Roman"/>
          <w:szCs w:val="24"/>
          <w:lang w:val="en-US"/>
        </w:rPr>
        <w:footnoteReference w:id="2"/>
      </w:r>
      <w:r w:rsidR="00072D4C" w:rsidRPr="00695919">
        <w:rPr>
          <w:rFonts w:ascii="Times New Arabic" w:hAnsi="Times New Arabic" w:cs="Times New Roman"/>
          <w:szCs w:val="24"/>
          <w:lang w:val="en-US"/>
        </w:rPr>
        <w:t xml:space="preserve"> Adanya Undang-Undang Nomor 13 Tahun </w:t>
      </w:r>
      <w:r w:rsidR="00072D4C" w:rsidRPr="00695919">
        <w:rPr>
          <w:rFonts w:ascii="Times New Arabic" w:hAnsi="Times New Arabic" w:cs="Times New Roman"/>
          <w:szCs w:val="24"/>
          <w:lang w:val="en-US"/>
        </w:rPr>
        <w:lastRenderedPageBreak/>
        <w:t>2003 tentang Ketenagakerjaan</w:t>
      </w:r>
      <w:r w:rsidR="009611FE" w:rsidRPr="00695919">
        <w:rPr>
          <w:rFonts w:ascii="Times New Arabic" w:hAnsi="Times New Arabic" w:cs="Times New Roman"/>
          <w:szCs w:val="24"/>
          <w:lang w:val="en-US"/>
        </w:rPr>
        <w:t xml:space="preserve"> (Undang-Undang Ketenagakerjaan)</w:t>
      </w:r>
      <w:r w:rsidR="00072D4C" w:rsidRPr="00695919">
        <w:rPr>
          <w:rFonts w:ascii="Times New Arabic" w:hAnsi="Times New Arabic" w:cs="Times New Roman"/>
          <w:szCs w:val="24"/>
          <w:lang w:val="en-US"/>
        </w:rPr>
        <w:t>, lantas mengatur hubungan kerja antara pengusaha dan pekerja yang dilakasanakan berdasarkan perjanjian kerja baik perjanjian kerja waktu tertentu (PKWT) maupun perjanjian kerja waktu tidak tertentu (PKWTT)</w:t>
      </w:r>
      <w:r w:rsidR="005123B9" w:rsidRPr="00695919">
        <w:rPr>
          <w:rFonts w:ascii="Times New Arabic" w:hAnsi="Times New Arabic" w:cs="Times New Roman"/>
          <w:szCs w:val="24"/>
          <w:lang w:val="en-US"/>
        </w:rPr>
        <w:t>, dengan spirit perlindungan hukum serta perlakuan tanpa adanya diskriminasi apapun terhadap pekerja</w:t>
      </w:r>
      <w:r w:rsidR="00072D4C" w:rsidRPr="00695919">
        <w:rPr>
          <w:rFonts w:ascii="Times New Arabic" w:hAnsi="Times New Arabic" w:cs="Times New Roman"/>
          <w:szCs w:val="24"/>
          <w:lang w:val="en-US"/>
        </w:rPr>
        <w:t xml:space="preserve">. </w:t>
      </w:r>
    </w:p>
    <w:p w:rsidR="003F0959" w:rsidRPr="00695919" w:rsidRDefault="00072D4C" w:rsidP="00E77617">
      <w:pPr>
        <w:spacing w:line="276" w:lineRule="auto"/>
        <w:ind w:firstLine="720"/>
        <w:jc w:val="both"/>
        <w:rPr>
          <w:rFonts w:ascii="Times New Arabic" w:eastAsia="Calibri" w:hAnsi="Times New Arabic" w:cs="Times New Roman"/>
          <w:color w:val="000000" w:themeColor="text1"/>
          <w:szCs w:val="24"/>
        </w:rPr>
      </w:pPr>
      <w:r w:rsidRPr="00695919">
        <w:rPr>
          <w:rFonts w:ascii="Times New Arabic" w:hAnsi="Times New Arabic" w:cs="Times New Roman"/>
          <w:szCs w:val="24"/>
          <w:lang w:val="en-US"/>
        </w:rPr>
        <w:t>Namun</w:t>
      </w:r>
      <w:r w:rsidR="0043292B" w:rsidRPr="00695919">
        <w:rPr>
          <w:rFonts w:ascii="Times New Arabic" w:hAnsi="Times New Arabic" w:cs="Times New Roman"/>
          <w:szCs w:val="24"/>
          <w:lang w:val="en-US"/>
        </w:rPr>
        <w:t xml:space="preserve"> </w:t>
      </w:r>
      <w:r w:rsidR="0043292B" w:rsidRPr="00695919">
        <w:rPr>
          <w:rFonts w:ascii="Times New Arabic" w:hAnsi="Times New Arabic"/>
        </w:rPr>
        <w:t>pada prakteknya, p</w:t>
      </w:r>
      <w:r w:rsidR="00B227FF" w:rsidRPr="00695919">
        <w:rPr>
          <w:rFonts w:ascii="Times New Arabic" w:hAnsi="Times New Arabic"/>
        </w:rPr>
        <w:t>erlindungan hukum terhadap pekerja dengan status Perjanjian Kerja Waktu Tertentu (PKWT)</w:t>
      </w:r>
      <w:r w:rsidR="00081C5F" w:rsidRPr="00695919">
        <w:rPr>
          <w:rFonts w:ascii="Times New Arabic" w:hAnsi="Times New Arabic"/>
        </w:rPr>
        <w:t xml:space="preserve"> masih ter</w:t>
      </w:r>
      <w:r w:rsidR="005123B9" w:rsidRPr="00695919">
        <w:rPr>
          <w:rFonts w:ascii="Times New Arabic" w:hAnsi="Times New Arabic"/>
        </w:rPr>
        <w:t xml:space="preserve">bilang memprihatinkan. </w:t>
      </w:r>
      <w:r w:rsidR="00081C5F" w:rsidRPr="00695919">
        <w:rPr>
          <w:rFonts w:ascii="Times New Arabic" w:hAnsi="Times New Arabic"/>
        </w:rPr>
        <w:t xml:space="preserve"> </w:t>
      </w:r>
      <w:r w:rsidR="005123B9" w:rsidRPr="00695919">
        <w:rPr>
          <w:rFonts w:ascii="Times New Arabic" w:hAnsi="Times New Arabic"/>
        </w:rPr>
        <w:t>Komite Buruh Cisda</w:t>
      </w:r>
      <w:r w:rsidR="002047E8" w:rsidRPr="00695919">
        <w:rPr>
          <w:rFonts w:ascii="Times New Arabic" w:hAnsi="Times New Arabic"/>
        </w:rPr>
        <w:t xml:space="preserve">ne (KBC) pada tahun </w:t>
      </w:r>
      <w:r w:rsidR="005123B9" w:rsidRPr="00695919">
        <w:rPr>
          <w:rFonts w:ascii="Times New Arabic" w:hAnsi="Times New Arabic"/>
        </w:rPr>
        <w:t xml:space="preserve">2004 </w:t>
      </w:r>
      <w:r w:rsidR="002047E8" w:rsidRPr="00695919">
        <w:rPr>
          <w:rFonts w:ascii="Times New Arabic" w:hAnsi="Times New Arabic"/>
        </w:rPr>
        <w:t>meriset 150 perusahaan di kota dan kabupaten</w:t>
      </w:r>
      <w:r w:rsidR="00A756D6" w:rsidRPr="00695919">
        <w:rPr>
          <w:rFonts w:ascii="Times New Arabic" w:hAnsi="Times New Arabic"/>
        </w:rPr>
        <w:t xml:space="preserve"> </w:t>
      </w:r>
      <w:r w:rsidR="002047E8" w:rsidRPr="00695919">
        <w:rPr>
          <w:rFonts w:ascii="Times New Arabic" w:hAnsi="Times New Arabic"/>
        </w:rPr>
        <w:t xml:space="preserve">Tangerang menyebutkan bahwa pekerja dengan status PKWT justru dipekerjakan </w:t>
      </w:r>
      <w:r w:rsidR="0006744D" w:rsidRPr="00695919">
        <w:rPr>
          <w:rFonts w:ascii="Times New Arabic" w:hAnsi="Times New Arabic"/>
        </w:rPr>
        <w:t>dengan jenis pekerjaan yang seharunya dikerjakan oleh pekerja dengan status PKWTT dan hanya menerima upah pokok saja tanpa ada jaminan sosial tenaga kerja.</w:t>
      </w:r>
      <w:r w:rsidR="00835BBA" w:rsidRPr="00695919">
        <w:rPr>
          <w:rFonts w:ascii="Times New Arabic" w:hAnsi="Times New Arabic"/>
        </w:rPr>
        <w:t xml:space="preserve"> </w:t>
      </w:r>
      <w:r w:rsidR="00F05AAA" w:rsidRPr="00695919">
        <w:rPr>
          <w:rFonts w:ascii="Times New Arabic" w:hAnsi="Times New Arabic"/>
        </w:rPr>
        <w:t>Persoalan ini juga di</w:t>
      </w:r>
      <w:r w:rsidR="00773BC3" w:rsidRPr="00695919">
        <w:rPr>
          <w:rFonts w:ascii="Times New Arabic" w:hAnsi="Times New Arabic"/>
        </w:rPr>
        <w:t xml:space="preserve">perkuat dengan hasil riset oleh Hari Nugroho, Indrasai T. dan Surya Tjandra </w:t>
      </w:r>
      <w:r w:rsidR="00F05AAA" w:rsidRPr="00695919">
        <w:rPr>
          <w:rFonts w:ascii="Times New Arabic" w:hAnsi="Times New Arabic"/>
        </w:rPr>
        <w:t>tahun 2006 terhadap perusahaan Eropa di Tangerang dan Pasuruan mengahsilkan temuan bahwa pekerja PKWT dan alih daya justru dijadikan sebagai prioritas dalam hubungan kerja dengan alasan lebih efisien dan mengurangi biaya untuk pekerja.</w:t>
      </w:r>
      <w:r w:rsidR="00F05AAA" w:rsidRPr="00695919">
        <w:rPr>
          <w:rStyle w:val="FootnoteReference"/>
          <w:rFonts w:ascii="Times New Arabic" w:hAnsi="Times New Arabic"/>
        </w:rPr>
        <w:footnoteReference w:id="3"/>
      </w:r>
      <w:r w:rsidR="00F05AAA" w:rsidRPr="00695919">
        <w:rPr>
          <w:rFonts w:ascii="Times New Arabic" w:hAnsi="Times New Arabic"/>
        </w:rPr>
        <w:t xml:space="preserve">  </w:t>
      </w:r>
      <w:r w:rsidR="00F05AAA" w:rsidRPr="00695919">
        <w:rPr>
          <w:rFonts w:ascii="Times New Arabic" w:eastAsia="Calibri" w:hAnsi="Times New Arabic" w:cs="Times New Roman"/>
          <w:color w:val="000000" w:themeColor="text1"/>
          <w:szCs w:val="24"/>
        </w:rPr>
        <w:t>Hal ini tentunya berdampak pada jaminan sosial pekerja dan hanya berdalih efisien, pekerja justru dijadikan sebagai sumber daya yang patut dieksploitasi.</w:t>
      </w:r>
      <w:r w:rsidR="009611FE" w:rsidRPr="00695919">
        <w:rPr>
          <w:rStyle w:val="FootnoteReference"/>
          <w:rFonts w:ascii="Times New Arabic" w:eastAsia="Calibri" w:hAnsi="Times New Arabic" w:cs="Times New Roman"/>
          <w:color w:val="000000" w:themeColor="text1"/>
          <w:szCs w:val="24"/>
        </w:rPr>
        <w:footnoteReference w:id="4"/>
      </w:r>
      <w:r w:rsidR="009611FE" w:rsidRPr="00695919">
        <w:rPr>
          <w:rFonts w:ascii="Times New Arabic" w:eastAsia="Calibri" w:hAnsi="Times New Arabic" w:cs="Times New Roman"/>
          <w:color w:val="000000" w:themeColor="text1"/>
          <w:szCs w:val="24"/>
        </w:rPr>
        <w:t xml:space="preserve"> </w:t>
      </w:r>
      <w:r w:rsidR="00C206A4" w:rsidRPr="00695919">
        <w:rPr>
          <w:rFonts w:ascii="Times New Arabic" w:eastAsia="Calibri" w:hAnsi="Times New Arabic" w:cs="Times New Roman"/>
          <w:color w:val="000000" w:themeColor="text1"/>
          <w:szCs w:val="24"/>
        </w:rPr>
        <w:t xml:space="preserve">Selaras dengan persoalan ini, </w:t>
      </w:r>
      <w:r w:rsidR="005950D9" w:rsidRPr="00695919">
        <w:rPr>
          <w:rFonts w:ascii="Times New Arabic" w:eastAsia="Calibri" w:hAnsi="Times New Arabic" w:cs="Times New Roman"/>
          <w:color w:val="000000" w:themeColor="text1"/>
          <w:szCs w:val="24"/>
        </w:rPr>
        <w:t>Lembaga Bantuan Hukum (LBH) Yogyakarta juga menyinggung soal mayoritas pengaduan pek</w:t>
      </w:r>
      <w:r w:rsidR="00E73A2D" w:rsidRPr="00695919">
        <w:rPr>
          <w:rFonts w:ascii="Times New Arabic" w:eastAsia="Calibri" w:hAnsi="Times New Arabic" w:cs="Times New Roman"/>
          <w:color w:val="000000" w:themeColor="text1"/>
          <w:szCs w:val="24"/>
        </w:rPr>
        <w:t xml:space="preserve">erja yang cenderung berstatus PKWT. Kebanyakan dari pekerja PKWT yang mengadu karena penerapan perjanjian kontrak yang lebih dari 2 (dua) tahun. Pola yang dibuat oleh pengusaha adalah </w:t>
      </w:r>
      <w:r w:rsidR="002F22D6" w:rsidRPr="00695919">
        <w:rPr>
          <w:rFonts w:ascii="Times New Arabic" w:eastAsia="Calibri" w:hAnsi="Times New Arabic" w:cs="Times New Roman"/>
          <w:color w:val="000000" w:themeColor="text1"/>
          <w:szCs w:val="24"/>
        </w:rPr>
        <w:t>memb</w:t>
      </w:r>
      <w:r w:rsidR="00E73A2D" w:rsidRPr="00695919">
        <w:rPr>
          <w:rFonts w:ascii="Times New Arabic" w:eastAsia="Calibri" w:hAnsi="Times New Arabic" w:cs="Times New Roman"/>
          <w:color w:val="000000" w:themeColor="text1"/>
          <w:szCs w:val="24"/>
        </w:rPr>
        <w:t>erhentikan pekerja PKWT setalah selesai perjanjian kontraknya selama 2 (dua) tahun, kemudia pekerja diminta untuk mendaftar kembali dengan perjanjian yang baru agar terhindar dari kewajiban pengusaha mengalihkan statusnya menjadi PKWTT.</w:t>
      </w:r>
      <w:r w:rsidR="00E73A2D" w:rsidRPr="00695919">
        <w:rPr>
          <w:rStyle w:val="FootnoteReference"/>
          <w:rFonts w:ascii="Times New Arabic" w:eastAsia="Calibri" w:hAnsi="Times New Arabic" w:cs="Times New Roman"/>
          <w:color w:val="000000" w:themeColor="text1"/>
          <w:szCs w:val="24"/>
        </w:rPr>
        <w:footnoteReference w:id="5"/>
      </w:r>
      <w:r w:rsidR="00E73A2D" w:rsidRPr="00695919">
        <w:rPr>
          <w:rFonts w:ascii="Times New Arabic" w:eastAsia="Calibri" w:hAnsi="Times New Arabic" w:cs="Times New Roman"/>
          <w:color w:val="000000" w:themeColor="text1"/>
          <w:szCs w:val="24"/>
        </w:rPr>
        <w:t xml:space="preserve"> Hal ini, memberikan gambaran bahwa pengusaha kerap kali mencari celah hukum, sehingga terhindar dari pembebanan peralihan status pekerja menjadi pekerja tetap yang lebih pasti hak-hak dasarnya.</w:t>
      </w:r>
      <w:r w:rsidR="003F0959" w:rsidRPr="00695919">
        <w:rPr>
          <w:rFonts w:ascii="Times New Arabic" w:eastAsia="Calibri" w:hAnsi="Times New Arabic" w:cs="Times New Roman"/>
          <w:color w:val="000000" w:themeColor="text1"/>
          <w:szCs w:val="24"/>
        </w:rPr>
        <w:t xml:space="preserve"> </w:t>
      </w:r>
    </w:p>
    <w:p w:rsidR="0043292B" w:rsidRPr="00695919" w:rsidRDefault="009611FE" w:rsidP="00E77617">
      <w:pPr>
        <w:spacing w:line="276" w:lineRule="auto"/>
        <w:ind w:firstLine="720"/>
        <w:jc w:val="both"/>
        <w:rPr>
          <w:rFonts w:ascii="Times New Arabic" w:eastAsia="Calibri" w:hAnsi="Times New Arabic" w:cs="Times New Roman"/>
          <w:color w:val="000000" w:themeColor="text1"/>
          <w:szCs w:val="24"/>
        </w:rPr>
      </w:pPr>
      <w:r w:rsidRPr="00695919">
        <w:rPr>
          <w:rFonts w:ascii="Times New Arabic" w:hAnsi="Times New Arabic"/>
        </w:rPr>
        <w:t xml:space="preserve">Seiring dengan lahirnya kebijakan baru, yaitu Undang-Undang Nomor 11 Tahun 2020 tentang Cipta Kerja beserta aturan pelaksananya, ketentuan PKWT yang </w:t>
      </w:r>
      <w:r w:rsidRPr="00695919">
        <w:rPr>
          <w:rFonts w:ascii="Times New Arabic" w:hAnsi="Times New Arabic"/>
        </w:rPr>
        <w:lastRenderedPageBreak/>
        <w:t xml:space="preserve">terdapat dalam Undang-Undang </w:t>
      </w:r>
      <w:r w:rsidR="00C206A4" w:rsidRPr="00695919">
        <w:rPr>
          <w:rFonts w:ascii="Times New Arabic" w:hAnsi="Times New Arabic"/>
        </w:rPr>
        <w:t>Ketenagakerjaan juga ikut dirubah.</w:t>
      </w:r>
      <w:r w:rsidR="00E313A3" w:rsidRPr="00695919">
        <w:rPr>
          <w:rFonts w:ascii="Times New Arabic" w:hAnsi="Times New Arabic"/>
        </w:rPr>
        <w:t xml:space="preserve"> </w:t>
      </w:r>
      <w:r w:rsidR="00F83034" w:rsidRPr="00695919">
        <w:rPr>
          <w:rFonts w:ascii="Times New Arabic" w:hAnsi="Times New Arabic"/>
        </w:rPr>
        <w:t>Alih-alih sebagai pembaharuan dan memperkuat regulasi untuk memberikan perlindungan hukum terhadap pekerja melalui pengesahan Undang-Undang Cipta Kerja, justru hadi</w:t>
      </w:r>
      <w:r w:rsidR="002F22D6" w:rsidRPr="00695919">
        <w:rPr>
          <w:rFonts w:ascii="Times New Arabic" w:hAnsi="Times New Arabic"/>
        </w:rPr>
        <w:t>r</w:t>
      </w:r>
      <w:r w:rsidR="00F83034" w:rsidRPr="00695919">
        <w:rPr>
          <w:rFonts w:ascii="Times New Arabic" w:hAnsi="Times New Arabic"/>
        </w:rPr>
        <w:t>nya regulasi tersebut menuai kontr</w:t>
      </w:r>
      <w:r w:rsidR="002F22D6" w:rsidRPr="00695919">
        <w:rPr>
          <w:rFonts w:ascii="Times New Arabic" w:hAnsi="Times New Arabic"/>
        </w:rPr>
        <w:t>oversi di kehidupan masyarakat</w:t>
      </w:r>
      <w:r w:rsidR="0036619B" w:rsidRPr="00695919">
        <w:rPr>
          <w:rFonts w:ascii="Times New Arabic" w:hAnsi="Times New Arabic"/>
        </w:rPr>
        <w:t>, terutama bagi pekerja</w:t>
      </w:r>
      <w:r w:rsidR="002F22D6" w:rsidRPr="00695919">
        <w:rPr>
          <w:rFonts w:ascii="Times New Arabic" w:hAnsi="Times New Arabic"/>
        </w:rPr>
        <w:t>.</w:t>
      </w:r>
      <w:r w:rsidR="002F22D6" w:rsidRPr="00695919">
        <w:rPr>
          <w:rStyle w:val="FootnoteReference"/>
          <w:rFonts w:ascii="Times New Arabic" w:hAnsi="Times New Arabic"/>
        </w:rPr>
        <w:footnoteReference w:id="6"/>
      </w:r>
      <w:r w:rsidR="002F22D6" w:rsidRPr="00695919">
        <w:rPr>
          <w:rFonts w:ascii="Times New Arabic" w:hAnsi="Times New Arabic"/>
        </w:rPr>
        <w:t xml:space="preserve"> </w:t>
      </w:r>
      <w:r w:rsidR="0036619B" w:rsidRPr="00695919">
        <w:rPr>
          <w:rFonts w:ascii="Times New Arabic" w:hAnsi="Times New Arabic"/>
        </w:rPr>
        <w:t>Kontroversi tersebut dipicu karena beberapa ketentuan yang secara speisifik merubah ketentuan ketenagakerjaan semakin mempersilahkan kepada para pihak dalam hubungan kerja untuk menentukan</w:t>
      </w:r>
      <w:r w:rsidR="002E5CE6" w:rsidRPr="00695919">
        <w:rPr>
          <w:rFonts w:ascii="Times New Arabic" w:hAnsi="Times New Arabic"/>
        </w:rPr>
        <w:t xml:space="preserve"> isi perjanjian kerja tersebut, sehingga berpotensi adanya ketimpangan dalam perjanjian. Sebut saja ketentuan yang secara khusus mengatur soal PKWT yaitu perubahan lamanya jangka waktu yang sebelumnya maksimal 2 (dua) tahun dan perpanjangannya 1 (satu) tahun dalam Pasal 54 Undang-Undang Ketenagakerjaan, dirubah menjadi ketentuanya menjadi 5 (lima) tahun untuk PKWT berdasarkan jangka waktu dan tidak ada batasan maksimal untuk PKWT berdasarkan selesainya suatu pekerjaan tertentu.</w:t>
      </w:r>
      <w:r w:rsidR="00E2243A" w:rsidRPr="00695919">
        <w:rPr>
          <w:rStyle w:val="FootnoteReference"/>
          <w:rFonts w:ascii="Times New Arabic" w:hAnsi="Times New Arabic"/>
        </w:rPr>
        <w:footnoteReference w:id="7"/>
      </w:r>
      <w:r w:rsidR="002E5CE6" w:rsidRPr="00695919">
        <w:rPr>
          <w:rFonts w:ascii="Times New Arabic" w:hAnsi="Times New Arabic"/>
        </w:rPr>
        <w:t xml:space="preserve"> Selain itu akibat hukum apabila PKWT dibuat secara tidak tertulis juga dihapuskan</w:t>
      </w:r>
      <w:r w:rsidR="00E2243A" w:rsidRPr="00695919">
        <w:rPr>
          <w:rFonts w:ascii="Times New Arabic" w:hAnsi="Times New Arabic"/>
        </w:rPr>
        <w:t>, padahal dalam ketentuan lama apabila PKWT dibuat secara tidak tertulis maka demi hukum beralih menjadi PKWTT.</w:t>
      </w:r>
      <w:r w:rsidR="00E2243A" w:rsidRPr="00695919">
        <w:rPr>
          <w:rStyle w:val="FootnoteReference"/>
          <w:rFonts w:ascii="Times New Arabic" w:hAnsi="Times New Arabic"/>
        </w:rPr>
        <w:footnoteReference w:id="8"/>
      </w:r>
      <w:r w:rsidR="00E2243A" w:rsidRPr="00695919">
        <w:rPr>
          <w:rFonts w:ascii="Times New Arabic" w:hAnsi="Times New Arabic"/>
        </w:rPr>
        <w:t xml:space="preserve"> </w:t>
      </w:r>
    </w:p>
    <w:p w:rsidR="00C206A4" w:rsidRPr="00695919" w:rsidRDefault="00E2243A" w:rsidP="00E77617">
      <w:pPr>
        <w:spacing w:line="276" w:lineRule="auto"/>
        <w:ind w:firstLine="720"/>
        <w:jc w:val="both"/>
        <w:rPr>
          <w:rFonts w:ascii="Times New Arabic" w:hAnsi="Times New Arabic"/>
        </w:rPr>
      </w:pPr>
      <w:r w:rsidRPr="00695919">
        <w:rPr>
          <w:rFonts w:ascii="Times New Arabic" w:hAnsi="Times New Arabic"/>
        </w:rPr>
        <w:t xml:space="preserve">Menyinggung soal kontroversi ini, Prof Alyosius Uwiyono (Guru Besar Hukum Ketenagakerjaan Universitas Indonesia) berpendapat bahwa aturan-aturan soal PKWT dalam Undang-Undang Cipta Kerja belum mencerminkan nilai keadilan. Hal tersebut didasarkan atas dua pertimbangan, yaitu: </w:t>
      </w:r>
      <w:r w:rsidRPr="00695919">
        <w:rPr>
          <w:rFonts w:ascii="Times New Arabic" w:hAnsi="Times New Arabic"/>
          <w:i/>
          <w:iCs/>
        </w:rPr>
        <w:t>pertama</w:t>
      </w:r>
      <w:r w:rsidRPr="00695919">
        <w:rPr>
          <w:rFonts w:ascii="Times New Arabic" w:hAnsi="Times New Arabic"/>
        </w:rPr>
        <w:t xml:space="preserve">, PKWT berdasarkan jangka waktu </w:t>
      </w:r>
      <w:r w:rsidR="00C522AD" w:rsidRPr="00695919">
        <w:rPr>
          <w:rFonts w:ascii="Times New Arabic" w:hAnsi="Times New Arabic"/>
        </w:rPr>
        <w:t xml:space="preserve">PKWT berdasarkan jangka waktu sebagaimana diatur Pasal 5 ayat (1a) Peraturan Pemerintah Nomor 35 Tahun 2021 hanya untuk pekerjaan yang tidak terlalu lama dan dilaksanakan paling lama untuk 5 (lima) tahun. Menurutnya, ketentuan tersebut dapat diatafsirkan bahwa apabila PKWT sebagaimana Pasal 5 Ayat (1) PP No. 35 Tahun 2021 itu berkahir dan pekerjaan belum selasai, maka PKWT dapat diperpanjang tidak lebih dari 5 (lima) tahun, sehingga akumulasi PKWT tersebut </w:t>
      </w:r>
      <w:r w:rsidR="00C522AD" w:rsidRPr="00695919">
        <w:rPr>
          <w:rFonts w:ascii="Times New Arabic" w:hAnsi="Times New Arabic"/>
        </w:rPr>
        <w:lastRenderedPageBreak/>
        <w:t xml:space="preserve">beserta perpanjangannya adalah 10 tahun. Namun </w:t>
      </w:r>
      <w:r w:rsidR="00C522AD" w:rsidRPr="00695919">
        <w:rPr>
          <w:rFonts w:ascii="Times New Arabic" w:hAnsi="Times New Arabic"/>
          <w:i/>
          <w:iCs/>
        </w:rPr>
        <w:t>beleid</w:t>
      </w:r>
      <w:r w:rsidR="00C522AD" w:rsidRPr="00695919">
        <w:rPr>
          <w:rFonts w:ascii="Times New Arabic" w:hAnsi="Times New Arabic"/>
        </w:rPr>
        <w:t xml:space="preserve"> dari ketentuan ini tidak mengatur apabila perpanjangan PKWT telah berakhir. </w:t>
      </w:r>
      <w:r w:rsidR="00C522AD" w:rsidRPr="00695919">
        <w:rPr>
          <w:rFonts w:ascii="Times New Arabic" w:hAnsi="Times New Arabic"/>
          <w:i/>
          <w:iCs/>
        </w:rPr>
        <w:t>Kedua</w:t>
      </w:r>
      <w:r w:rsidR="00C522AD" w:rsidRPr="00695919">
        <w:rPr>
          <w:rFonts w:ascii="Times New Arabic" w:hAnsi="Times New Arabic"/>
        </w:rPr>
        <w:t>, PKWT yang didasarkan pada selesainya suatu pekerjaan tertentu, tidak diatur berakhirnya perjanjian PKWT, sebab jika pekerjaan tersebut belum selesai, maka PKWT tersebut dapat diperpanjang sampai batas w</w:t>
      </w:r>
      <w:r w:rsidR="000E07E9" w:rsidRPr="00695919">
        <w:rPr>
          <w:rFonts w:ascii="Times New Arabic" w:hAnsi="Times New Arabic"/>
        </w:rPr>
        <w:t>aktu selesaianya peker</w:t>
      </w:r>
      <w:r w:rsidR="00C522AD" w:rsidRPr="00695919">
        <w:rPr>
          <w:rFonts w:ascii="Times New Arabic" w:hAnsi="Times New Arabic"/>
        </w:rPr>
        <w:t>jaan berdasarkan kesepakatan pengusaha dan pekerja seperti halnya diatur di dalam Pasal 9 Ayat (4) Peraturan Pemerintah Nomor 35 Tahun 2021. PKWT jenis ini berpotensi dilakukan secara terus menerus.</w:t>
      </w:r>
      <w:r w:rsidR="00C522AD" w:rsidRPr="00695919">
        <w:rPr>
          <w:rStyle w:val="FootnoteReference"/>
          <w:rFonts w:ascii="Times New Arabic" w:hAnsi="Times New Arabic"/>
        </w:rPr>
        <w:footnoteReference w:id="9"/>
      </w:r>
      <w:r w:rsidR="00C522AD" w:rsidRPr="00695919">
        <w:rPr>
          <w:rFonts w:ascii="Times New Arabic" w:hAnsi="Times New Arabic"/>
        </w:rPr>
        <w:t xml:space="preserve"> Berdasarkan ketentuan tersebut, dapat dipahami bahwa perlindungan hukum terhadap pekerja dengan ketentuan PKWT dalam UU Cipta Kerja terbilang masih </w:t>
      </w:r>
      <w:r w:rsidR="000E07E9" w:rsidRPr="00695919">
        <w:rPr>
          <w:rFonts w:ascii="Times New Arabic" w:hAnsi="Times New Arabic"/>
        </w:rPr>
        <w:t>dipertanyakan.</w:t>
      </w:r>
    </w:p>
    <w:p w:rsidR="0039763D" w:rsidRPr="00695919" w:rsidRDefault="00C522AD" w:rsidP="00E77617">
      <w:pPr>
        <w:spacing w:line="276" w:lineRule="auto"/>
        <w:ind w:firstLine="720"/>
        <w:jc w:val="both"/>
        <w:rPr>
          <w:rFonts w:ascii="Times New Arabic" w:hAnsi="Times New Arabic" w:cstheme="majorBidi"/>
          <w:noProof/>
          <w:color w:val="000000" w:themeColor="text1"/>
        </w:rPr>
      </w:pPr>
      <w:r w:rsidRPr="00695919">
        <w:rPr>
          <w:rFonts w:ascii="Times New Arabic" w:hAnsi="Times New Arabic"/>
        </w:rPr>
        <w:t>Sejauh ini studi tentang ketentuan PKWT yang diatur dalam Undang-Undang Cipta Kerja hanya berfok</w:t>
      </w:r>
      <w:r w:rsidR="00441D1B" w:rsidRPr="00695919">
        <w:rPr>
          <w:rFonts w:ascii="Times New Arabic" w:hAnsi="Times New Arabic"/>
        </w:rPr>
        <w:t xml:space="preserve">us pada studi normatif dan </w:t>
      </w:r>
      <w:r w:rsidR="000E07E9" w:rsidRPr="00695919">
        <w:rPr>
          <w:rFonts w:ascii="Times New Arabic" w:hAnsi="Times New Arabic"/>
        </w:rPr>
        <w:t>kom</w:t>
      </w:r>
      <w:r w:rsidR="00441D1B" w:rsidRPr="00695919">
        <w:rPr>
          <w:rFonts w:ascii="Times New Arabic" w:hAnsi="Times New Arabic"/>
        </w:rPr>
        <w:t xml:space="preserve">paratif antara ketentuan baru yang diatur dalam Undang-Undang Cipta Kerja dengan aturan lama yang diatur dalam Undang-Undang Ketenagakerjaan. Studi pertama dilakukan oleh </w:t>
      </w:r>
      <w:r w:rsidR="004B3D44" w:rsidRPr="00695919">
        <w:rPr>
          <w:rFonts w:ascii="Times New Arabic" w:hAnsi="Times New Arabic"/>
        </w:rPr>
        <w:t>Dewa Gede Giri Santosa</w:t>
      </w:r>
      <w:r w:rsidR="00A756D6" w:rsidRPr="00695919">
        <w:rPr>
          <w:rFonts w:ascii="Times New Arabic" w:hAnsi="Times New Arabic"/>
        </w:rPr>
        <w:t xml:space="preserve">, (2021), dengan judul </w:t>
      </w:r>
      <w:r w:rsidR="00A756D6" w:rsidRPr="00695919">
        <w:rPr>
          <w:rFonts w:ascii="Times New Arabic" w:hAnsi="Times New Arabic" w:cstheme="majorBidi"/>
          <w:noProof/>
          <w:color w:val="000000" w:themeColor="text1"/>
        </w:rPr>
        <w:t xml:space="preserve">“Perjanjian Kerja Waktu Tertentu Pasca </w:t>
      </w:r>
      <w:r w:rsidR="00A756D6" w:rsidRPr="00695919">
        <w:rPr>
          <w:rFonts w:ascii="Times New Arabic" w:hAnsi="Times New Arabic" w:cstheme="majorBidi"/>
          <w:noProof/>
          <w:color w:val="000000" w:themeColor="text1"/>
          <w:lang w:val="id-ID"/>
        </w:rPr>
        <w:t>Undang-Undang</w:t>
      </w:r>
      <w:r w:rsidR="00A756D6" w:rsidRPr="00695919">
        <w:rPr>
          <w:rFonts w:ascii="Times New Arabic" w:hAnsi="Times New Arabic" w:cstheme="majorBidi"/>
          <w:noProof/>
          <w:color w:val="000000" w:themeColor="text1"/>
        </w:rPr>
        <w:t xml:space="preserve"> Cipta Kerja: Implementasi dan Permasalahannya” </w:t>
      </w:r>
      <w:r w:rsidR="00577780" w:rsidRPr="00695919">
        <w:rPr>
          <w:rFonts w:ascii="Times New Arabic" w:hAnsi="Times New Arabic" w:cstheme="majorBidi"/>
          <w:noProof/>
          <w:color w:val="000000" w:themeColor="text1"/>
        </w:rPr>
        <w:t>melalui penelitian</w:t>
      </w:r>
      <w:r w:rsidR="00E37FBE" w:rsidRPr="00695919">
        <w:rPr>
          <w:rFonts w:ascii="Times New Arabic" w:hAnsi="Times New Arabic" w:cstheme="majorBidi"/>
          <w:noProof/>
          <w:color w:val="000000" w:themeColor="text1"/>
        </w:rPr>
        <w:t xml:space="preserve"> normatif, </w:t>
      </w:r>
      <w:r w:rsidR="00A756D6" w:rsidRPr="00695919">
        <w:rPr>
          <w:rFonts w:ascii="Times New Arabic" w:hAnsi="Times New Arabic" w:cstheme="majorBidi"/>
          <w:noProof/>
          <w:color w:val="000000" w:themeColor="text1"/>
        </w:rPr>
        <w:t xml:space="preserve">menyebutkan bahwa </w:t>
      </w:r>
      <w:r w:rsidR="001263EE" w:rsidRPr="00695919">
        <w:rPr>
          <w:rFonts w:ascii="Times New Arabic" w:hAnsi="Times New Arabic" w:cstheme="majorBidi"/>
          <w:noProof/>
          <w:color w:val="000000" w:themeColor="text1"/>
        </w:rPr>
        <w:t xml:space="preserve"> diundangkannya Undang-Undang Cipta Kerja merubah beberapa ketentuan mengenai PKWT, namun perubahan-perubahan ketentuan tersebut masih didapati </w:t>
      </w:r>
      <w:r w:rsidR="00E37FBE" w:rsidRPr="00695919">
        <w:rPr>
          <w:rFonts w:ascii="Times New Arabic" w:hAnsi="Times New Arabic" w:cstheme="majorBidi"/>
          <w:noProof/>
          <w:color w:val="000000" w:themeColor="text1"/>
        </w:rPr>
        <w:t>beberapa permasalahan serta kekosongan hukum, seperti tidak ada batasan maksimal untuk PKWT berdasarkan selesianya suatu pekerjaan tertentu, tidak ada akibat hukum PKWT yang dibuat secara tidak tertulis, dan tidak ada pengaturan tentang pemberitahuan dari pengusaha sehubungan adanya perpanjangan dan pembaharuan PKWT.</w:t>
      </w:r>
      <w:r w:rsidR="00E37FBE" w:rsidRPr="00695919">
        <w:rPr>
          <w:rStyle w:val="FootnoteReference"/>
          <w:rFonts w:ascii="Times New Arabic" w:hAnsi="Times New Arabic" w:cstheme="majorBidi"/>
          <w:noProof/>
          <w:color w:val="000000" w:themeColor="text1"/>
        </w:rPr>
        <w:footnoteReference w:id="10"/>
      </w:r>
    </w:p>
    <w:p w:rsidR="00C21109" w:rsidRPr="00695919" w:rsidRDefault="00E37FBE" w:rsidP="00E77617">
      <w:pPr>
        <w:spacing w:line="276" w:lineRule="auto"/>
        <w:ind w:firstLine="720"/>
        <w:jc w:val="both"/>
        <w:rPr>
          <w:rFonts w:ascii="Times New Arabic" w:hAnsi="Times New Arabic"/>
        </w:rPr>
      </w:pPr>
      <w:r w:rsidRPr="00695919">
        <w:rPr>
          <w:rFonts w:ascii="Times New Arabic" w:hAnsi="Times New Arabic"/>
        </w:rPr>
        <w:t xml:space="preserve">Studi kedua dilakukan oleh </w:t>
      </w:r>
      <w:r w:rsidR="00C97734" w:rsidRPr="00695919">
        <w:rPr>
          <w:rFonts w:ascii="Times New Arabic" w:hAnsi="Times New Arabic"/>
        </w:rPr>
        <w:t>Vist</w:t>
      </w:r>
      <w:r w:rsidR="00402692" w:rsidRPr="00695919">
        <w:rPr>
          <w:rFonts w:ascii="Times New Arabic" w:hAnsi="Times New Arabic"/>
        </w:rPr>
        <w:t>a Nur Wasiatul M. dan Arinto Nugroho</w:t>
      </w:r>
      <w:r w:rsidR="00DE2E5C" w:rsidRPr="00695919">
        <w:rPr>
          <w:rFonts w:ascii="Times New Arabic" w:hAnsi="Times New Arabic"/>
        </w:rPr>
        <w:t>, (2022),</w:t>
      </w:r>
      <w:r w:rsidR="00402692" w:rsidRPr="00695919">
        <w:rPr>
          <w:rFonts w:ascii="Times New Arabic" w:hAnsi="Times New Arabic"/>
        </w:rPr>
        <w:t xml:space="preserve"> dengan judul “</w:t>
      </w:r>
      <w:r w:rsidR="00DE2E5C" w:rsidRPr="00695919">
        <w:rPr>
          <w:rFonts w:ascii="Times New Arabic" w:hAnsi="Times New Arabic"/>
        </w:rPr>
        <w:t xml:space="preserve">Perlindungan Hukum bagi Pekerja Berdasarkan Perjanjian Kerja Tidak Tertulis Pasca Berlakunya Undang-Undang Nomor 11 Tahun 2020 tentang Cipta Kerja” dengan jenis penelitian normatif, menyebutkan bahwa hilangnya ketentuan yang mengatur perubahan status pekerja PKWT menjadi pekerja PKWTT sebab adanya perjanjian yang dibuat secara tidak tertulis dalam Undang-Undang Cipta Kerja berimplikasi pada lemahnya posisi pekerja dalam hubungan kerja. Adapun </w:t>
      </w:r>
      <w:r w:rsidR="00DE2E5C" w:rsidRPr="00695919">
        <w:rPr>
          <w:rFonts w:ascii="Times New Arabic" w:hAnsi="Times New Arabic"/>
        </w:rPr>
        <w:lastRenderedPageBreak/>
        <w:t xml:space="preserve">langkah hukum yang dapat dilakukan oleh pekerja </w:t>
      </w:r>
      <w:r w:rsidR="0039763D" w:rsidRPr="00695919">
        <w:rPr>
          <w:rFonts w:ascii="Times New Arabic" w:hAnsi="Times New Arabic"/>
        </w:rPr>
        <w:t xml:space="preserve">atas ketentuan ini yaitu </w:t>
      </w:r>
      <w:r w:rsidR="00DE2E5C" w:rsidRPr="00695919">
        <w:rPr>
          <w:rFonts w:ascii="Times New Arabic" w:hAnsi="Times New Arabic"/>
        </w:rPr>
        <w:t xml:space="preserve">melakukan perundingan </w:t>
      </w:r>
      <w:r w:rsidR="0039763D" w:rsidRPr="00695919">
        <w:rPr>
          <w:rFonts w:ascii="Times New Arabic" w:hAnsi="Times New Arabic"/>
        </w:rPr>
        <w:t>dengan pihak pengusaha yang diwujdukan dalam bentuk perjanjian kerja bersama (PKB).</w:t>
      </w:r>
      <w:r w:rsidR="0039763D" w:rsidRPr="00695919">
        <w:rPr>
          <w:rStyle w:val="FootnoteReference"/>
          <w:rFonts w:ascii="Times New Arabic" w:hAnsi="Times New Arabic"/>
        </w:rPr>
        <w:footnoteReference w:id="11"/>
      </w:r>
      <w:r w:rsidR="00B6412E" w:rsidRPr="00695919">
        <w:rPr>
          <w:rFonts w:ascii="Times New Arabic" w:hAnsi="Times New Arabic"/>
        </w:rPr>
        <w:t xml:space="preserve"> </w:t>
      </w:r>
      <w:r w:rsidR="00CA3BD5" w:rsidRPr="00695919">
        <w:rPr>
          <w:rFonts w:ascii="Times New Arabic" w:hAnsi="Times New Arabic"/>
          <w:lang w:val="en-US"/>
        </w:rPr>
        <w:t xml:space="preserve">Studi ketiga dilakukan oleh </w:t>
      </w:r>
      <w:r w:rsidR="00630E98" w:rsidRPr="00695919">
        <w:rPr>
          <w:rFonts w:ascii="Times New Arabic" w:hAnsi="Times New Arabic"/>
          <w:lang w:val="en-US"/>
        </w:rPr>
        <w:t>Satria Adhi P. dan Margo Hadi P. dengan penelitiannya yang berjudul “Perlindungan dan Kepastian Hukum bagi Pekerja dengan Perjanjian Kerja Waktu Tertentu (PKWT) Pasca Undang-Undnag Nomor 11 Tahun 2020 tentang Cipta Kerja” sebuah studi normatif, menyebutkan bahwa pasca diundangkanny</w:t>
      </w:r>
      <w:r w:rsidR="00C21109" w:rsidRPr="00695919">
        <w:rPr>
          <w:rFonts w:ascii="Times New Arabic" w:hAnsi="Times New Arabic"/>
          <w:lang w:val="en-US"/>
        </w:rPr>
        <w:t>a Undang-Undang Cipta Kerja merubah ketentuan-ketentuan yang sebelumnya diatur dalam Undang-Undang Ketenagakerjaan. Perubahan ketentuan tersebut berupa penghapusan sebagian Pasal 59 Undang-Undang Ketenagakerjaan yang menimbulkan tidak adanya kepastian hukum bagi pekerja PKWT.</w:t>
      </w:r>
      <w:r w:rsidR="00C97734" w:rsidRPr="00695919">
        <w:rPr>
          <w:rStyle w:val="FootnoteReference"/>
          <w:rFonts w:ascii="Times New Arabic" w:hAnsi="Times New Arabic"/>
          <w:lang w:val="en-US"/>
        </w:rPr>
        <w:footnoteReference w:id="12"/>
      </w:r>
      <w:r w:rsidR="00C21109" w:rsidRPr="00695919">
        <w:rPr>
          <w:rFonts w:ascii="Times New Arabic" w:hAnsi="Times New Arabic"/>
          <w:lang w:val="en-US"/>
        </w:rPr>
        <w:t xml:space="preserve"> </w:t>
      </w:r>
    </w:p>
    <w:p w:rsidR="00C21109" w:rsidRPr="00695919" w:rsidRDefault="00C21109" w:rsidP="00E77617">
      <w:pPr>
        <w:spacing w:line="276" w:lineRule="auto"/>
        <w:ind w:firstLine="720"/>
        <w:jc w:val="both"/>
        <w:rPr>
          <w:rFonts w:ascii="Times New Arabic" w:hAnsi="Times New Arabic"/>
          <w:lang w:val="en-US"/>
        </w:rPr>
      </w:pPr>
      <w:r w:rsidRPr="00695919">
        <w:rPr>
          <w:rFonts w:ascii="Times New Arabic" w:hAnsi="Times New Arabic" w:cs="Times New Roman"/>
          <w:color w:val="000000" w:themeColor="text1"/>
          <w:lang w:val="en-US"/>
        </w:rPr>
        <w:t xml:space="preserve">Perlindungan hukum terhadap pekerja dalam aturan perundang-undangan memang memiliki elan vital tersendiri. </w:t>
      </w:r>
      <w:r w:rsidRPr="00695919">
        <w:rPr>
          <w:rFonts w:ascii="Times New Arabic" w:hAnsi="Times New Arabic" w:cs="Times New Roman"/>
          <w:i/>
          <w:iCs/>
          <w:color w:val="000000" w:themeColor="text1"/>
          <w:lang w:val="en-US"/>
        </w:rPr>
        <w:t>Pertama</w:t>
      </w:r>
      <w:r w:rsidRPr="00695919">
        <w:rPr>
          <w:rFonts w:ascii="Times New Arabic" w:hAnsi="Times New Arabic" w:cs="Times New Roman"/>
          <w:color w:val="000000" w:themeColor="text1"/>
          <w:lang w:val="en-US"/>
        </w:rPr>
        <w:t xml:space="preserve">, regulasi tentang ketenagakerjaan merupakan bentuk intervensi pemerintah terhadap relasi hubungan kerja antara pengusaha dan pekerja sehingga dapat menekan adanya relasi </w:t>
      </w:r>
      <w:r w:rsidRPr="00695919">
        <w:rPr>
          <w:rFonts w:ascii="Times New Arabic" w:hAnsi="Times New Arabic" w:cs="Times New Roman"/>
          <w:i/>
          <w:iCs/>
          <w:color w:val="000000" w:themeColor="text1"/>
          <w:lang w:val="en-US"/>
        </w:rPr>
        <w:t>sub-ordinate</w:t>
      </w:r>
      <w:r w:rsidRPr="00695919">
        <w:rPr>
          <w:rFonts w:ascii="Times New Arabic" w:hAnsi="Times New Arabic" w:cs="Times New Roman"/>
          <w:color w:val="000000" w:themeColor="text1"/>
          <w:lang w:val="en-US"/>
        </w:rPr>
        <w:t xml:space="preserve"> (vertikal) antara kedua belah pihak melalui langkah preventif berupa aturan perundang-undangan tersebut, sehingga diharapakan keduanya memiliki kedudukan yang </w:t>
      </w:r>
      <w:proofErr w:type="gramStart"/>
      <w:r w:rsidRPr="00695919">
        <w:rPr>
          <w:rFonts w:ascii="Times New Arabic" w:hAnsi="Times New Arabic" w:cs="Times New Roman"/>
          <w:color w:val="000000" w:themeColor="text1"/>
          <w:lang w:val="en-US"/>
        </w:rPr>
        <w:t>sama</w:t>
      </w:r>
      <w:proofErr w:type="gramEnd"/>
      <w:r w:rsidRPr="00695919">
        <w:rPr>
          <w:rFonts w:ascii="Times New Arabic" w:hAnsi="Times New Arabic" w:cs="Times New Roman"/>
          <w:color w:val="000000" w:themeColor="text1"/>
          <w:lang w:val="en-US"/>
        </w:rPr>
        <w:t xml:space="preserve"> dalam hukum.</w:t>
      </w:r>
      <w:r w:rsidRPr="00695919">
        <w:rPr>
          <w:rStyle w:val="FootnoteReference"/>
          <w:rFonts w:ascii="Times New Arabic" w:hAnsi="Times New Arabic" w:cs="Times New Roman"/>
          <w:color w:val="000000" w:themeColor="text1"/>
          <w:lang w:val="en-US"/>
        </w:rPr>
        <w:footnoteReference w:id="13"/>
      </w:r>
      <w:r w:rsidRPr="00695919">
        <w:rPr>
          <w:rFonts w:ascii="Times New Arabic" w:hAnsi="Times New Arabic" w:cs="Times New Roman"/>
          <w:color w:val="000000" w:themeColor="text1"/>
          <w:lang w:val="en-US"/>
        </w:rPr>
        <w:t xml:space="preserve"> </w:t>
      </w:r>
      <w:r w:rsidRPr="00695919">
        <w:rPr>
          <w:rFonts w:ascii="Times New Arabic" w:hAnsi="Times New Arabic" w:cs="Times New Roman"/>
          <w:i/>
          <w:iCs/>
          <w:color w:val="000000" w:themeColor="text1"/>
          <w:lang w:val="en-US"/>
        </w:rPr>
        <w:t>Kedua</w:t>
      </w:r>
      <w:r w:rsidRPr="00695919">
        <w:rPr>
          <w:rFonts w:ascii="Times New Arabic" w:hAnsi="Times New Arabic" w:cs="Times New Roman"/>
          <w:color w:val="000000" w:themeColor="text1"/>
          <w:lang w:val="en-US"/>
        </w:rPr>
        <w:t>, upaya perlindungan hukum juga merupakan salah satu dari tujuan p</w:t>
      </w:r>
      <w:r w:rsidRPr="00695919">
        <w:rPr>
          <w:rFonts w:ascii="Times New Arabic" w:hAnsi="Times New Arabic" w:cstheme="majorBidi"/>
          <w:color w:val="000000" w:themeColor="text1"/>
          <w:szCs w:val="24"/>
        </w:rPr>
        <w:t>embangunan ketenagakerjaan yaitu senantiasa untuk memberikan perlindungan hukum bagi pekerja agar mendapatkan jaminan hak-hak dasar pekerja dan jaminan kesamaan kesempatan serta perlakuan tanpa diskriminasi atas dasar apapun untuk mewujudkan kesejahteraan pekerja dan keluarganya.</w:t>
      </w:r>
      <w:r w:rsidRPr="00695919">
        <w:rPr>
          <w:rStyle w:val="FootnoteReference"/>
          <w:rFonts w:ascii="Times New Arabic" w:hAnsi="Times New Arabic" w:cstheme="majorBidi"/>
          <w:color w:val="000000" w:themeColor="text1"/>
          <w:szCs w:val="24"/>
        </w:rPr>
        <w:footnoteReference w:id="14"/>
      </w:r>
      <w:r w:rsidRPr="00695919">
        <w:rPr>
          <w:rFonts w:ascii="Times New Arabic" w:hAnsi="Times New Arabic" w:cstheme="majorBidi"/>
          <w:color w:val="000000" w:themeColor="text1"/>
          <w:szCs w:val="24"/>
        </w:rPr>
        <w:t xml:space="preserve"> Perlindungan hukum terhadap pekerja juga diupayakan semata-mata agar pekerja mendapatkan ha</w:t>
      </w:r>
      <w:r w:rsidR="00B10A69" w:rsidRPr="00695919">
        <w:rPr>
          <w:rFonts w:ascii="Times New Arabic" w:hAnsi="Times New Arabic" w:cstheme="majorBidi"/>
          <w:color w:val="000000" w:themeColor="text1"/>
          <w:szCs w:val="24"/>
        </w:rPr>
        <w:t>knya sebagaimana amanat</w:t>
      </w:r>
      <w:r w:rsidRPr="00695919">
        <w:rPr>
          <w:rFonts w:ascii="Times New Arabic" w:hAnsi="Times New Arabic" w:cstheme="majorBidi"/>
          <w:color w:val="000000" w:themeColor="text1"/>
          <w:szCs w:val="24"/>
        </w:rPr>
        <w:t xml:space="preserve"> Pasal 27 Ayat (2) yang menyebutkan bahwa </w:t>
      </w:r>
      <w:r w:rsidRPr="00695919">
        <w:rPr>
          <w:rFonts w:ascii="Times New Arabic" w:eastAsia="Calibri" w:hAnsi="Times New Arabic" w:cs="Times New Roman"/>
          <w:color w:val="000000" w:themeColor="text1"/>
          <w:szCs w:val="24"/>
        </w:rPr>
        <w:t>Tiap-tiap warga negara berhak atas pekerjaan dan penghidupan yang layak bagi kemanusiaan”.</w:t>
      </w:r>
    </w:p>
    <w:p w:rsidR="00C21109" w:rsidRPr="00695919" w:rsidRDefault="00C21109" w:rsidP="00E77617">
      <w:pPr>
        <w:spacing w:line="276" w:lineRule="auto"/>
        <w:ind w:firstLine="720"/>
        <w:jc w:val="both"/>
        <w:rPr>
          <w:rFonts w:ascii="Times New Arabic" w:hAnsi="Times New Arabic" w:cstheme="majorBidi"/>
          <w:color w:val="000000" w:themeColor="text1"/>
          <w:szCs w:val="24"/>
        </w:rPr>
      </w:pPr>
      <w:r w:rsidRPr="00695919">
        <w:rPr>
          <w:rFonts w:ascii="Times New Arabic" w:hAnsi="Times New Arabic" w:cstheme="majorBidi"/>
          <w:color w:val="000000" w:themeColor="text1"/>
          <w:szCs w:val="24"/>
        </w:rPr>
        <w:lastRenderedPageBreak/>
        <w:t>Pada titik ini studi perlindungan hukum terhadap pekerja PKWT cenderung sebatas melihat fungsi intervensi pemerintah dalam hubungan kerja antara pengusaha dengan pekerja yang dilihat melalui analisis regulasi tanpa melihat secara mendalam bahwa dalam regulasi tentang ketenagakerjaan juga perlu memperhatikan spirit H</w:t>
      </w:r>
      <w:r w:rsidR="004D77C0" w:rsidRPr="00695919">
        <w:rPr>
          <w:rFonts w:ascii="Times New Arabic" w:hAnsi="Times New Arabic" w:cstheme="majorBidi"/>
          <w:color w:val="000000" w:themeColor="text1"/>
          <w:szCs w:val="24"/>
        </w:rPr>
        <w:t xml:space="preserve">ak </w:t>
      </w:r>
      <w:r w:rsidRPr="00695919">
        <w:rPr>
          <w:rFonts w:ascii="Times New Arabic" w:hAnsi="Times New Arabic" w:cstheme="majorBidi"/>
          <w:color w:val="000000" w:themeColor="text1"/>
          <w:szCs w:val="24"/>
        </w:rPr>
        <w:t>A</w:t>
      </w:r>
      <w:r w:rsidR="004D77C0" w:rsidRPr="00695919">
        <w:rPr>
          <w:rFonts w:ascii="Times New Arabic" w:hAnsi="Times New Arabic" w:cstheme="majorBidi"/>
          <w:color w:val="000000" w:themeColor="text1"/>
          <w:szCs w:val="24"/>
        </w:rPr>
        <w:t xml:space="preserve">sasi </w:t>
      </w:r>
      <w:r w:rsidRPr="00695919">
        <w:rPr>
          <w:rFonts w:ascii="Times New Arabic" w:hAnsi="Times New Arabic" w:cstheme="majorBidi"/>
          <w:color w:val="000000" w:themeColor="text1"/>
          <w:szCs w:val="24"/>
        </w:rPr>
        <w:t>M</w:t>
      </w:r>
      <w:r w:rsidR="004D77C0" w:rsidRPr="00695919">
        <w:rPr>
          <w:rFonts w:ascii="Times New Arabic" w:hAnsi="Times New Arabic" w:cstheme="majorBidi"/>
          <w:color w:val="000000" w:themeColor="text1"/>
          <w:szCs w:val="24"/>
        </w:rPr>
        <w:t>anusia (HAM)</w:t>
      </w:r>
      <w:r w:rsidRPr="00695919">
        <w:rPr>
          <w:rFonts w:ascii="Times New Arabic" w:hAnsi="Times New Arabic" w:cstheme="majorBidi"/>
          <w:color w:val="000000" w:themeColor="text1"/>
          <w:szCs w:val="24"/>
        </w:rPr>
        <w:t xml:space="preserve"> yang tertuang di dalam regulasi tersebut. Padahal, perlindungan hukum terhadap pekerja juga semata-mata karena adanya hak yang perlu dilindungi sekaligus sebagai upaya pemenuhan dan penghormatan terhadap hak asasi. Bahkan urgensitas perlindungan hukum bagi pekerja juga termasuk salah satu upaya yang dikedepankan dalam ranah internasional</w:t>
      </w:r>
      <w:r w:rsidR="00B10A69" w:rsidRPr="00695919">
        <w:rPr>
          <w:rFonts w:ascii="Times New Arabic" w:hAnsi="Times New Arabic" w:cstheme="majorBidi"/>
          <w:color w:val="000000" w:themeColor="text1"/>
          <w:szCs w:val="24"/>
        </w:rPr>
        <w:t xml:space="preserve">, yang diakomodir melalui organisasi </w:t>
      </w:r>
      <w:r w:rsidR="00B10A69" w:rsidRPr="00695919">
        <w:rPr>
          <w:rFonts w:ascii="Times New Arabic" w:hAnsi="Times New Arabic" w:cstheme="majorBidi"/>
          <w:i/>
          <w:iCs/>
          <w:color w:val="000000" w:themeColor="text1"/>
          <w:szCs w:val="24"/>
        </w:rPr>
        <w:t>International Labour Organization</w:t>
      </w:r>
      <w:r w:rsidR="00B10A69" w:rsidRPr="00695919">
        <w:rPr>
          <w:rFonts w:ascii="Times New Arabic" w:hAnsi="Times New Arabic" w:cstheme="majorBidi"/>
          <w:color w:val="000000" w:themeColor="text1"/>
          <w:szCs w:val="24"/>
        </w:rPr>
        <w:t xml:space="preserve"> (ILO)</w:t>
      </w:r>
      <w:r w:rsidRPr="00695919">
        <w:rPr>
          <w:rFonts w:ascii="Times New Arabic" w:hAnsi="Times New Arabic" w:cstheme="majorBidi"/>
          <w:color w:val="000000" w:themeColor="text1"/>
          <w:szCs w:val="24"/>
        </w:rPr>
        <w:t>.</w:t>
      </w:r>
      <w:r w:rsidR="004024C9" w:rsidRPr="00695919">
        <w:rPr>
          <w:rStyle w:val="FootnoteReference"/>
          <w:rFonts w:ascii="Times New Arabic" w:hAnsi="Times New Arabic" w:cstheme="majorBidi"/>
          <w:color w:val="000000" w:themeColor="text1"/>
          <w:szCs w:val="24"/>
        </w:rPr>
        <w:footnoteReference w:id="15"/>
      </w:r>
      <w:r w:rsidRPr="00695919">
        <w:rPr>
          <w:rFonts w:ascii="Times New Arabic" w:hAnsi="Times New Arabic" w:cstheme="majorBidi"/>
          <w:color w:val="000000" w:themeColor="text1"/>
          <w:szCs w:val="24"/>
        </w:rPr>
        <w:t xml:space="preserve"> Indonesia sebagai bagian dari anggota sudah semestinya mengimplentasikan konvenan-konvenan yang sudah menjadi konsensus bersama. Urgensitas perlindungan hukum </w:t>
      </w:r>
      <w:r w:rsidR="004D77C0" w:rsidRPr="00695919">
        <w:rPr>
          <w:rFonts w:ascii="Times New Arabic" w:hAnsi="Times New Arabic" w:cstheme="majorBidi"/>
          <w:color w:val="000000" w:themeColor="text1"/>
          <w:szCs w:val="24"/>
        </w:rPr>
        <w:t xml:space="preserve">sebagai bagian dari upaya pemenuhan hak asasi manusia juga diperhatikan dalam hazanah Islam. </w:t>
      </w:r>
    </w:p>
    <w:p w:rsidR="00C21109" w:rsidRPr="00695919" w:rsidRDefault="004D77C0" w:rsidP="00E77617">
      <w:pPr>
        <w:spacing w:line="276" w:lineRule="auto"/>
        <w:ind w:firstLine="720"/>
        <w:jc w:val="both"/>
        <w:rPr>
          <w:rFonts w:ascii="Times New Arabic" w:hAnsi="Times New Arabic" w:cstheme="majorBidi"/>
          <w:color w:val="000000" w:themeColor="text1"/>
          <w:szCs w:val="24"/>
        </w:rPr>
      </w:pPr>
      <w:r w:rsidRPr="00695919">
        <w:rPr>
          <w:rFonts w:ascii="Times New Arabic" w:hAnsi="Times New Arabic" w:cstheme="majorBidi"/>
          <w:color w:val="000000" w:themeColor="text1"/>
          <w:szCs w:val="24"/>
        </w:rPr>
        <w:t xml:space="preserve">Salah satu tokoh cendikiawan </w:t>
      </w:r>
      <w:proofErr w:type="gramStart"/>
      <w:r w:rsidRPr="00695919">
        <w:rPr>
          <w:rFonts w:ascii="Times New Arabic" w:hAnsi="Times New Arabic" w:cstheme="majorBidi"/>
          <w:color w:val="000000" w:themeColor="text1"/>
          <w:szCs w:val="24"/>
        </w:rPr>
        <w:t>muslim</w:t>
      </w:r>
      <w:proofErr w:type="gramEnd"/>
      <w:r w:rsidRPr="00695919">
        <w:rPr>
          <w:rFonts w:ascii="Times New Arabic" w:hAnsi="Times New Arabic" w:cstheme="majorBidi"/>
          <w:color w:val="000000" w:themeColor="text1"/>
          <w:szCs w:val="24"/>
        </w:rPr>
        <w:t xml:space="preserve"> sekaligus pemikir H</w:t>
      </w:r>
      <w:r w:rsidR="00B10A69" w:rsidRPr="00695919">
        <w:rPr>
          <w:rFonts w:ascii="Times New Arabic" w:hAnsi="Times New Arabic" w:cstheme="majorBidi"/>
          <w:color w:val="000000" w:themeColor="text1"/>
          <w:szCs w:val="24"/>
        </w:rPr>
        <w:t xml:space="preserve">ak </w:t>
      </w:r>
      <w:r w:rsidRPr="00695919">
        <w:rPr>
          <w:rFonts w:ascii="Times New Arabic" w:hAnsi="Times New Arabic" w:cstheme="majorBidi"/>
          <w:color w:val="000000" w:themeColor="text1"/>
          <w:szCs w:val="24"/>
        </w:rPr>
        <w:t>A</w:t>
      </w:r>
      <w:r w:rsidR="00B10A69" w:rsidRPr="00695919">
        <w:rPr>
          <w:rFonts w:ascii="Times New Arabic" w:hAnsi="Times New Arabic" w:cstheme="majorBidi"/>
          <w:color w:val="000000" w:themeColor="text1"/>
          <w:szCs w:val="24"/>
        </w:rPr>
        <w:t xml:space="preserve">sasi </w:t>
      </w:r>
      <w:r w:rsidRPr="00695919">
        <w:rPr>
          <w:rFonts w:ascii="Times New Arabic" w:hAnsi="Times New Arabic" w:cstheme="majorBidi"/>
          <w:color w:val="000000" w:themeColor="text1"/>
          <w:szCs w:val="24"/>
        </w:rPr>
        <w:t>M</w:t>
      </w:r>
      <w:r w:rsidR="00B10A69" w:rsidRPr="00695919">
        <w:rPr>
          <w:rFonts w:ascii="Times New Arabic" w:hAnsi="Times New Arabic" w:cstheme="majorBidi"/>
          <w:color w:val="000000" w:themeColor="text1"/>
          <w:szCs w:val="24"/>
        </w:rPr>
        <w:t>anusia (HAM)</w:t>
      </w:r>
      <w:r w:rsidRPr="00695919">
        <w:rPr>
          <w:rFonts w:ascii="Times New Arabic" w:hAnsi="Times New Arabic" w:cstheme="majorBidi"/>
          <w:color w:val="000000" w:themeColor="text1"/>
          <w:szCs w:val="24"/>
        </w:rPr>
        <w:t xml:space="preserve"> yang mutakhir ad</w:t>
      </w:r>
      <w:r w:rsidR="00577780" w:rsidRPr="00695919">
        <w:rPr>
          <w:rFonts w:ascii="Times New Arabic" w:hAnsi="Times New Arabic" w:cstheme="majorBidi"/>
          <w:color w:val="000000" w:themeColor="text1"/>
          <w:szCs w:val="24"/>
        </w:rPr>
        <w:t>a</w:t>
      </w:r>
      <w:r w:rsidRPr="00695919">
        <w:rPr>
          <w:rFonts w:ascii="Times New Arabic" w:hAnsi="Times New Arabic" w:cstheme="majorBidi"/>
          <w:color w:val="000000" w:themeColor="text1"/>
          <w:szCs w:val="24"/>
        </w:rPr>
        <w:t xml:space="preserve">lah Abdullhi Ahmed an’Na’im. </w:t>
      </w:r>
      <w:r w:rsidR="00B10A69" w:rsidRPr="00695919">
        <w:rPr>
          <w:rFonts w:ascii="Times New Arabic" w:hAnsi="Times New Arabic" w:cstheme="majorBidi"/>
          <w:color w:val="000000" w:themeColor="text1"/>
          <w:szCs w:val="24"/>
        </w:rPr>
        <w:t>Abdullahi Ahmed n</w:t>
      </w:r>
      <w:r w:rsidR="00C21109" w:rsidRPr="00695919">
        <w:rPr>
          <w:rFonts w:ascii="Times New Arabic" w:hAnsi="Times New Arabic" w:cstheme="majorBidi"/>
          <w:color w:val="000000" w:themeColor="text1"/>
          <w:szCs w:val="24"/>
        </w:rPr>
        <w:t>n-Na’im yang menaruh perhatian khusus terhadap nilai-nilai humanisme melalui prinsip resiprositas dan hak untuk hidup dan bebas yang harus tetap eksis dalam kehidupan modern sebagaimana syariah saat diturun</w:t>
      </w:r>
      <w:r w:rsidR="00B10A69" w:rsidRPr="00695919">
        <w:rPr>
          <w:rFonts w:ascii="Times New Arabic" w:hAnsi="Times New Arabic" w:cstheme="majorBidi"/>
          <w:color w:val="000000" w:themeColor="text1"/>
          <w:szCs w:val="24"/>
        </w:rPr>
        <w:t>kan di Makkah. Abdullahi Ahmed a</w:t>
      </w:r>
      <w:r w:rsidR="00C21109" w:rsidRPr="00695919">
        <w:rPr>
          <w:rFonts w:ascii="Times New Arabic" w:hAnsi="Times New Arabic" w:cstheme="majorBidi"/>
          <w:color w:val="000000" w:themeColor="text1"/>
          <w:szCs w:val="24"/>
        </w:rPr>
        <w:t>n-Na’im juga merupakan tokoh pemikir Islam yang menaruh perhatian khusus terhadap isu-isu hak asasi manusia serta kritik terhadap hukum Islam historis yang cenderung diskriminatif dan partikularistik. Dalam pandangannya, syariah haruslah mengikuti perkembangan zaman sehingga dapat tertransformasik</w:t>
      </w:r>
      <w:r w:rsidR="00B10A69" w:rsidRPr="00695919">
        <w:rPr>
          <w:rFonts w:ascii="Times New Arabic" w:hAnsi="Times New Arabic" w:cstheme="majorBidi"/>
          <w:color w:val="000000" w:themeColor="text1"/>
          <w:szCs w:val="24"/>
        </w:rPr>
        <w:t>an dalam kehidupan yang modern.</w:t>
      </w:r>
      <w:r w:rsidR="00B10A69" w:rsidRPr="00695919">
        <w:rPr>
          <w:rStyle w:val="FootnoteReference"/>
          <w:rFonts w:ascii="Times New Arabic" w:hAnsi="Times New Arabic" w:cstheme="majorBidi"/>
          <w:color w:val="000000" w:themeColor="text1"/>
          <w:szCs w:val="24"/>
        </w:rPr>
        <w:footnoteReference w:id="16"/>
      </w:r>
    </w:p>
    <w:p w:rsidR="004D77C0" w:rsidRPr="00695919" w:rsidRDefault="004D77C0" w:rsidP="00E77617">
      <w:pPr>
        <w:spacing w:line="276" w:lineRule="auto"/>
        <w:ind w:firstLine="720"/>
        <w:jc w:val="both"/>
        <w:rPr>
          <w:rFonts w:ascii="Times New Arabic" w:eastAsia="Calibri" w:hAnsi="Times New Arabic" w:cs="Times New Roman"/>
          <w:szCs w:val="24"/>
        </w:rPr>
      </w:pPr>
      <w:r w:rsidRPr="00695919">
        <w:rPr>
          <w:rFonts w:ascii="Times New Arabic" w:hAnsi="Times New Arabic" w:cstheme="majorBidi"/>
          <w:color w:val="000000" w:themeColor="text1"/>
          <w:szCs w:val="24"/>
        </w:rPr>
        <w:lastRenderedPageBreak/>
        <w:t xml:space="preserve">Tujuan penelitian ini untuk melengkapi kekurangan studi sebelumnya dengan meninjau lebih mendalam </w:t>
      </w:r>
      <w:r w:rsidR="00B10A69" w:rsidRPr="00695919">
        <w:rPr>
          <w:rFonts w:ascii="Times New Arabic" w:hAnsi="Times New Arabic" w:cstheme="majorBidi"/>
          <w:color w:val="000000" w:themeColor="text1"/>
          <w:szCs w:val="24"/>
        </w:rPr>
        <w:t>bagai</w:t>
      </w:r>
      <w:r w:rsidRPr="00695919">
        <w:rPr>
          <w:rFonts w:ascii="Times New Arabic" w:hAnsi="Times New Arabic" w:cstheme="majorBidi"/>
          <w:color w:val="000000" w:themeColor="text1"/>
          <w:szCs w:val="24"/>
        </w:rPr>
        <w:t>mana perlindungan hukum bagi pekerja dalam ketentuan PKWT dalam U</w:t>
      </w:r>
      <w:r w:rsidR="00577780" w:rsidRPr="00695919">
        <w:rPr>
          <w:rFonts w:ascii="Times New Arabic" w:hAnsi="Times New Arabic" w:cstheme="majorBidi"/>
          <w:color w:val="000000" w:themeColor="text1"/>
          <w:szCs w:val="24"/>
        </w:rPr>
        <w:t>ndang-</w:t>
      </w:r>
      <w:r w:rsidRPr="00695919">
        <w:rPr>
          <w:rFonts w:ascii="Times New Arabic" w:hAnsi="Times New Arabic" w:cstheme="majorBidi"/>
          <w:color w:val="000000" w:themeColor="text1"/>
          <w:szCs w:val="24"/>
        </w:rPr>
        <w:t>U</w:t>
      </w:r>
      <w:r w:rsidR="00577780" w:rsidRPr="00695919">
        <w:rPr>
          <w:rFonts w:ascii="Times New Arabic" w:hAnsi="Times New Arabic" w:cstheme="majorBidi"/>
          <w:color w:val="000000" w:themeColor="text1"/>
          <w:szCs w:val="24"/>
        </w:rPr>
        <w:t>ndang</w:t>
      </w:r>
      <w:r w:rsidRPr="00695919">
        <w:rPr>
          <w:rFonts w:ascii="Times New Arabic" w:hAnsi="Times New Arabic" w:cstheme="majorBidi"/>
          <w:color w:val="000000" w:themeColor="text1"/>
          <w:szCs w:val="24"/>
        </w:rPr>
        <w:t xml:space="preserve"> Cipta Kerja perspektif fik</w:t>
      </w:r>
      <w:r w:rsidR="00B10A69" w:rsidRPr="00695919">
        <w:rPr>
          <w:rFonts w:ascii="Times New Arabic" w:hAnsi="Times New Arabic" w:cstheme="majorBidi"/>
          <w:color w:val="000000" w:themeColor="text1"/>
          <w:szCs w:val="24"/>
        </w:rPr>
        <w:t>ih HAM menurut Abdullahi Ahmed a</w:t>
      </w:r>
      <w:r w:rsidRPr="00695919">
        <w:rPr>
          <w:rFonts w:ascii="Times New Arabic" w:hAnsi="Times New Arabic" w:cstheme="majorBidi"/>
          <w:color w:val="000000" w:themeColor="text1"/>
          <w:szCs w:val="24"/>
        </w:rPr>
        <w:t>n-Na’im yang didasarkan atas spirit humanismenya berupa prinsip resiprositas dan hak untuk hidup dan bebas. Masalah pemenuhan hak yang tertuang dalam regulasi juga dapat berpengaruh terhadap kesejahteraan pekerja. Adalah krusial mengetahui sejauh mana ketentuan PKWT dalam regulasi tersebut memberikan perlindungan hukum terhadap hak-hak pekerja</w:t>
      </w:r>
      <w:r w:rsidR="00577780" w:rsidRPr="00695919">
        <w:rPr>
          <w:rFonts w:ascii="Times New Arabic" w:hAnsi="Times New Arabic" w:cstheme="majorBidi"/>
          <w:color w:val="000000" w:themeColor="text1"/>
          <w:szCs w:val="24"/>
        </w:rPr>
        <w:t xml:space="preserve"> berdasarkan</w:t>
      </w:r>
      <w:r w:rsidR="008A799A" w:rsidRPr="00695919">
        <w:rPr>
          <w:rFonts w:ascii="Times New Arabic" w:hAnsi="Times New Arabic" w:cstheme="majorBidi"/>
          <w:color w:val="000000" w:themeColor="text1"/>
          <w:szCs w:val="24"/>
        </w:rPr>
        <w:t xml:space="preserve"> nilai-nilai fikih HAM menurut Abdullahi Ahmed an-Na’im</w:t>
      </w:r>
      <w:r w:rsidRPr="00695919">
        <w:rPr>
          <w:rFonts w:ascii="Times New Arabic" w:hAnsi="Times New Arabic" w:cstheme="majorBidi"/>
          <w:color w:val="000000" w:themeColor="text1"/>
          <w:szCs w:val="24"/>
        </w:rPr>
        <w:t>. Tulisan ini secara khusus hendak menjawab bagiamana bentuk perlindungan hukum terhadap pekerja dalam ketentuan PKWT U</w:t>
      </w:r>
      <w:r w:rsidR="00577780" w:rsidRPr="00695919">
        <w:rPr>
          <w:rFonts w:ascii="Times New Arabic" w:hAnsi="Times New Arabic" w:cstheme="majorBidi"/>
          <w:color w:val="000000" w:themeColor="text1"/>
          <w:szCs w:val="24"/>
        </w:rPr>
        <w:t>ndang-</w:t>
      </w:r>
      <w:r w:rsidRPr="00695919">
        <w:rPr>
          <w:rFonts w:ascii="Times New Arabic" w:hAnsi="Times New Arabic" w:cstheme="majorBidi"/>
          <w:color w:val="000000" w:themeColor="text1"/>
          <w:szCs w:val="24"/>
        </w:rPr>
        <w:t>U</w:t>
      </w:r>
      <w:r w:rsidR="00577780" w:rsidRPr="00695919">
        <w:rPr>
          <w:rFonts w:ascii="Times New Arabic" w:hAnsi="Times New Arabic" w:cstheme="majorBidi"/>
          <w:color w:val="000000" w:themeColor="text1"/>
          <w:szCs w:val="24"/>
        </w:rPr>
        <w:t>ndang</w:t>
      </w:r>
      <w:r w:rsidRPr="00695919">
        <w:rPr>
          <w:rFonts w:ascii="Times New Arabic" w:hAnsi="Times New Arabic" w:cstheme="majorBidi"/>
          <w:color w:val="000000" w:themeColor="text1"/>
          <w:szCs w:val="24"/>
        </w:rPr>
        <w:t xml:space="preserve"> Cipta Kerja perspektif fik</w:t>
      </w:r>
      <w:r w:rsidR="00B10A69" w:rsidRPr="00695919">
        <w:rPr>
          <w:rFonts w:ascii="Times New Arabic" w:hAnsi="Times New Arabic" w:cstheme="majorBidi"/>
          <w:color w:val="000000" w:themeColor="text1"/>
          <w:szCs w:val="24"/>
        </w:rPr>
        <w:t>ih HAM menurut Abdullahi Ahmed a</w:t>
      </w:r>
      <w:r w:rsidRPr="00695919">
        <w:rPr>
          <w:rFonts w:ascii="Times New Arabic" w:hAnsi="Times New Arabic" w:cstheme="majorBidi"/>
          <w:color w:val="000000" w:themeColor="text1"/>
          <w:szCs w:val="24"/>
        </w:rPr>
        <w:t>n-Na’im. Melalui pengkajian secara mendalam terhadap</w:t>
      </w:r>
      <w:r w:rsidRPr="00695919">
        <w:rPr>
          <w:rFonts w:ascii="Times New Arabic" w:eastAsia="Calibri" w:hAnsi="Times New Arabic" w:cs="Times New Roman"/>
          <w:szCs w:val="24"/>
        </w:rPr>
        <w:t xml:space="preserve"> konsep dan ketentuan tersebut </w:t>
      </w:r>
      <w:r w:rsidR="00B10A69" w:rsidRPr="00695919">
        <w:rPr>
          <w:rFonts w:ascii="Times New Arabic" w:eastAsia="Calibri" w:hAnsi="Times New Arabic" w:cs="Times New Roman"/>
          <w:szCs w:val="24"/>
        </w:rPr>
        <w:t xml:space="preserve">diharapkan </w:t>
      </w:r>
      <w:r w:rsidRPr="00695919">
        <w:rPr>
          <w:rFonts w:ascii="Times New Arabic" w:eastAsia="Calibri" w:hAnsi="Times New Arabic" w:cs="Times New Roman"/>
          <w:szCs w:val="24"/>
        </w:rPr>
        <w:t>dapat memberikan pemahaman terhadap nilai-nilai dan norma-norma terutama berkaitan dengan hak-hak dasar pekerja</w:t>
      </w:r>
      <w:r w:rsidR="00D40C6B" w:rsidRPr="00695919">
        <w:rPr>
          <w:rFonts w:ascii="Times New Arabic" w:eastAsia="Calibri" w:hAnsi="Times New Arabic" w:cs="Times New Roman"/>
          <w:szCs w:val="24"/>
        </w:rPr>
        <w:t xml:space="preserve"> serta</w:t>
      </w:r>
      <w:r w:rsidRPr="00695919">
        <w:rPr>
          <w:rFonts w:ascii="Times New Arabic" w:eastAsia="Calibri" w:hAnsi="Times New Arabic" w:cs="Times New Roman"/>
          <w:szCs w:val="24"/>
        </w:rPr>
        <w:t xml:space="preserve"> syariah dapat tertrasnformasikan secara kontekstual.</w:t>
      </w:r>
    </w:p>
    <w:p w:rsidR="004D77C0" w:rsidRPr="00695919" w:rsidRDefault="004D77C0" w:rsidP="00E77617">
      <w:pPr>
        <w:spacing w:line="276" w:lineRule="auto"/>
        <w:ind w:firstLine="720"/>
        <w:jc w:val="both"/>
        <w:rPr>
          <w:rFonts w:ascii="Times New Arabic" w:hAnsi="Times New Arabic" w:cstheme="majorBidi"/>
          <w:color w:val="000000" w:themeColor="text1"/>
          <w:szCs w:val="24"/>
        </w:rPr>
      </w:pPr>
      <w:r w:rsidRPr="00695919">
        <w:rPr>
          <w:rFonts w:ascii="Times New Arabic" w:hAnsi="Times New Arabic" w:cstheme="majorBidi"/>
          <w:color w:val="000000" w:themeColor="text1"/>
          <w:szCs w:val="24"/>
        </w:rPr>
        <w:t>Penelitian ini didasarkan pada argumen bahwa perlindungan hukum bagi pekerja adalah penting agar hak-hak dasar pekerja dapat terpenuhi sehingga pekerja dapat mencapai taraf hidup yang sejahtera. Hak-hak tersebut dapat terwujud manakala dalam isntrumen hukum berupa regulasi benar-benar memberikan kepastian hukum terhadap hak-hak pekerja, sehingga fungsi intervensi peme</w:t>
      </w:r>
      <w:r w:rsidR="00885B14" w:rsidRPr="00695919">
        <w:rPr>
          <w:rFonts w:ascii="Times New Arabic" w:hAnsi="Times New Arabic" w:cstheme="majorBidi"/>
          <w:color w:val="000000" w:themeColor="text1"/>
          <w:szCs w:val="24"/>
        </w:rPr>
        <w:t>rintah sebagai pihak ketiga</w:t>
      </w:r>
      <w:r w:rsidRPr="00695919">
        <w:rPr>
          <w:rFonts w:ascii="Times New Arabic" w:hAnsi="Times New Arabic" w:cstheme="majorBidi"/>
          <w:color w:val="000000" w:themeColor="text1"/>
          <w:szCs w:val="24"/>
        </w:rPr>
        <w:t xml:space="preserve"> dapat menekan adanya tindakan sewenag-wenang dari pengusaha terhadap pekerja. Selain itu spirit syariah ya</w:t>
      </w:r>
      <w:r w:rsidR="00885B14" w:rsidRPr="00695919">
        <w:rPr>
          <w:rFonts w:ascii="Times New Arabic" w:hAnsi="Times New Arabic" w:cstheme="majorBidi"/>
          <w:color w:val="000000" w:themeColor="text1"/>
          <w:szCs w:val="24"/>
        </w:rPr>
        <w:t>ng dibawa oleh Abdullahi Ahmed a</w:t>
      </w:r>
      <w:r w:rsidRPr="00695919">
        <w:rPr>
          <w:rFonts w:ascii="Times New Arabic" w:hAnsi="Times New Arabic" w:cstheme="majorBidi"/>
          <w:color w:val="000000" w:themeColor="text1"/>
          <w:szCs w:val="24"/>
        </w:rPr>
        <w:t>n-Na’im juga dapat menjadi acuan standar pemenuhan hak pekerja mengin</w:t>
      </w:r>
      <w:r w:rsidR="00885B14" w:rsidRPr="00695919">
        <w:rPr>
          <w:rFonts w:ascii="Times New Arabic" w:hAnsi="Times New Arabic" w:cstheme="majorBidi"/>
          <w:color w:val="000000" w:themeColor="text1"/>
          <w:szCs w:val="24"/>
        </w:rPr>
        <w:t>gat apa yang dinarasaikan oleh a</w:t>
      </w:r>
      <w:r w:rsidRPr="00695919">
        <w:rPr>
          <w:rFonts w:ascii="Times New Arabic" w:hAnsi="Times New Arabic" w:cstheme="majorBidi"/>
          <w:color w:val="000000" w:themeColor="text1"/>
          <w:szCs w:val="24"/>
        </w:rPr>
        <w:t xml:space="preserve">n-Na’im yaitu adanya spirit nilai-nilai humanisme dengan mengacu pada spirit resiprositas dan pemenuhan hak untuk hidup dan bebas. Dengan demikian, regulasi yang terbentuk tidak hanya sebatas </w:t>
      </w:r>
      <w:proofErr w:type="gramStart"/>
      <w:r w:rsidRPr="00695919">
        <w:rPr>
          <w:rFonts w:ascii="Times New Arabic" w:hAnsi="Times New Arabic" w:cstheme="majorBidi"/>
          <w:color w:val="000000" w:themeColor="text1"/>
          <w:szCs w:val="24"/>
        </w:rPr>
        <w:t>norma</w:t>
      </w:r>
      <w:proofErr w:type="gramEnd"/>
      <w:r w:rsidRPr="00695919">
        <w:rPr>
          <w:rFonts w:ascii="Times New Arabic" w:hAnsi="Times New Arabic" w:cstheme="majorBidi"/>
          <w:color w:val="000000" w:themeColor="text1"/>
          <w:szCs w:val="24"/>
        </w:rPr>
        <w:t xml:space="preserve"> hukum saja tetapi spirit syariah diharapkan dapat terimplemenatasikan dalam sebuah regulasi, khususnya dalam skup pengaturan PKWT. Metode penelitian yang digunakan dalam tulisan ini berupa normatif dengan pendekatan perundang-undangan (</w:t>
      </w:r>
      <w:r w:rsidRPr="00695919">
        <w:rPr>
          <w:rFonts w:ascii="Times New Arabic" w:hAnsi="Times New Arabic" w:cstheme="majorBidi"/>
          <w:i/>
          <w:iCs/>
          <w:color w:val="000000" w:themeColor="text1"/>
          <w:szCs w:val="24"/>
        </w:rPr>
        <w:t>statute approach</w:t>
      </w:r>
      <w:r w:rsidRPr="00695919">
        <w:rPr>
          <w:rFonts w:ascii="Times New Arabic" w:hAnsi="Times New Arabic" w:cstheme="majorBidi"/>
          <w:color w:val="000000" w:themeColor="text1"/>
          <w:szCs w:val="24"/>
        </w:rPr>
        <w:t>) dan pendekatan konseptual (</w:t>
      </w:r>
      <w:r w:rsidRPr="00695919">
        <w:rPr>
          <w:rFonts w:ascii="Times New Arabic" w:hAnsi="Times New Arabic" w:cstheme="majorBidi"/>
          <w:i/>
          <w:iCs/>
          <w:color w:val="000000" w:themeColor="text1"/>
          <w:szCs w:val="24"/>
        </w:rPr>
        <w:t>conceptual approach</w:t>
      </w:r>
      <w:r w:rsidRPr="00695919">
        <w:rPr>
          <w:rFonts w:ascii="Times New Arabic" w:hAnsi="Times New Arabic" w:cstheme="majorBidi"/>
          <w:color w:val="000000" w:themeColor="text1"/>
          <w:szCs w:val="24"/>
        </w:rPr>
        <w:t xml:space="preserve">). Bahan hukum dalam penelitian ini berupa bahan hukum primer, skunder, dan tersier dengan metode pengumpulan bahan hukum berupa studi kepustakaan serta analisis bahan hukum menggunakan metode analisis deskriptif. </w:t>
      </w:r>
    </w:p>
    <w:p w:rsidR="004D77C0" w:rsidRPr="00695919" w:rsidRDefault="00D118B2" w:rsidP="00E77617">
      <w:pPr>
        <w:spacing w:line="276" w:lineRule="auto"/>
        <w:jc w:val="both"/>
        <w:rPr>
          <w:rFonts w:ascii="Times New Arabic" w:hAnsi="Times New Arabic" w:cstheme="majorBidi"/>
          <w:b/>
          <w:bCs/>
          <w:color w:val="000000" w:themeColor="text1"/>
          <w:szCs w:val="24"/>
        </w:rPr>
      </w:pPr>
      <w:r w:rsidRPr="00695919">
        <w:rPr>
          <w:rFonts w:ascii="Times New Arabic" w:hAnsi="Times New Arabic" w:cstheme="majorBidi"/>
          <w:b/>
          <w:bCs/>
          <w:color w:val="000000" w:themeColor="text1"/>
          <w:szCs w:val="24"/>
        </w:rPr>
        <w:t>URGENSITAS PERLINDUNGAN HUKUM BAGI PEKERJA PKWT</w:t>
      </w:r>
    </w:p>
    <w:p w:rsidR="0057191F" w:rsidRPr="00695919" w:rsidRDefault="00BA2998" w:rsidP="00E77617">
      <w:pPr>
        <w:spacing w:line="276" w:lineRule="auto"/>
        <w:ind w:firstLine="567"/>
        <w:contextualSpacing/>
        <w:jc w:val="both"/>
        <w:rPr>
          <w:rFonts w:ascii="Times New Arabic" w:hAnsi="Times New Arabic" w:cstheme="majorBidi"/>
          <w:szCs w:val="24"/>
        </w:rPr>
      </w:pPr>
      <w:r w:rsidRPr="00695919">
        <w:rPr>
          <w:rFonts w:ascii="Times New Arabic" w:hAnsi="Times New Arabic" w:cstheme="majorBidi"/>
          <w:color w:val="000000" w:themeColor="text1"/>
          <w:szCs w:val="24"/>
        </w:rPr>
        <w:tab/>
      </w:r>
      <w:r w:rsidR="0057191F" w:rsidRPr="00695919">
        <w:rPr>
          <w:rFonts w:ascii="Times New Arabic" w:hAnsi="Times New Arabic" w:cstheme="majorBidi"/>
          <w:szCs w:val="24"/>
        </w:rPr>
        <w:t xml:space="preserve">Perlindungan hukum merupakan perlindungan terhadap harkat dan martabat serta adanya pengakuan hak asasi manusia yang dimiliki oleh subjek hukum </w:t>
      </w:r>
      <w:r w:rsidR="0057191F" w:rsidRPr="00695919">
        <w:rPr>
          <w:rFonts w:ascii="Times New Arabic" w:hAnsi="Times New Arabic" w:cstheme="majorBidi"/>
          <w:szCs w:val="24"/>
        </w:rPr>
        <w:lastRenderedPageBreak/>
        <w:t>berdasarkan ketentuan hukum dari kemungkinan terjadinya kesewenangan atau sebagai kumpulan peraturan maupun kaidah yang dapat melindungi suatu hal dari hal lainnya.</w:t>
      </w:r>
      <w:r w:rsidR="0057191F" w:rsidRPr="00695919">
        <w:rPr>
          <w:rStyle w:val="FootnoteReference"/>
          <w:rFonts w:ascii="Times New Arabic" w:hAnsi="Times New Arabic" w:cstheme="majorBidi"/>
          <w:szCs w:val="24"/>
        </w:rPr>
        <w:footnoteReference w:id="17"/>
      </w:r>
      <w:r w:rsidR="0057191F" w:rsidRPr="00695919">
        <w:rPr>
          <w:rFonts w:ascii="Times New Arabic" w:hAnsi="Times New Arabic" w:cstheme="majorBidi"/>
          <w:szCs w:val="24"/>
        </w:rPr>
        <w:t xml:space="preserve"> Konsep perlindungan hukum bagi para pekerja bertumpu pada perlindungan terhadap harkat dan mertabatnya beserta hak-hak dasar yang melekat pada mereka.</w:t>
      </w:r>
      <w:r w:rsidR="0057191F" w:rsidRPr="00695919">
        <w:rPr>
          <w:rStyle w:val="FootnoteReference"/>
          <w:rFonts w:ascii="Times New Arabic" w:hAnsi="Times New Arabic" w:cstheme="majorBidi"/>
          <w:szCs w:val="24"/>
        </w:rPr>
        <w:footnoteReference w:id="18"/>
      </w:r>
      <w:r w:rsidR="0057191F" w:rsidRPr="00695919">
        <w:rPr>
          <w:rFonts w:ascii="Times New Arabic" w:hAnsi="Times New Arabic" w:cstheme="majorBidi"/>
          <w:szCs w:val="24"/>
        </w:rPr>
        <w:t xml:space="preserve"> Upaya perlindungan ini dimaksudkan untuk mengupayakan pemenuhan hak-hak asasi manusia, sebab salah satu hal penting dalam penerapan kaidah hukum adalah penegakan hukum (</w:t>
      </w:r>
      <w:r w:rsidR="0057191F" w:rsidRPr="00695919">
        <w:rPr>
          <w:rFonts w:ascii="Times New Arabic" w:hAnsi="Times New Arabic" w:cstheme="majorBidi"/>
          <w:i/>
          <w:iCs/>
          <w:szCs w:val="24"/>
        </w:rPr>
        <w:t>law inforcment</w:t>
      </w:r>
      <w:r w:rsidR="0057191F" w:rsidRPr="00695919">
        <w:rPr>
          <w:rFonts w:ascii="Times New Arabic" w:hAnsi="Times New Arabic" w:cstheme="majorBidi"/>
          <w:szCs w:val="24"/>
        </w:rPr>
        <w:t>).</w:t>
      </w:r>
      <w:r w:rsidR="0057191F" w:rsidRPr="00695919">
        <w:rPr>
          <w:rStyle w:val="FootnoteReference"/>
          <w:rFonts w:ascii="Times New Arabic" w:hAnsi="Times New Arabic" w:cstheme="majorBidi"/>
          <w:szCs w:val="24"/>
        </w:rPr>
        <w:footnoteReference w:id="19"/>
      </w:r>
    </w:p>
    <w:p w:rsidR="0057191F" w:rsidRPr="00695919" w:rsidRDefault="0057191F" w:rsidP="00E77617">
      <w:pPr>
        <w:spacing w:line="276" w:lineRule="auto"/>
        <w:ind w:firstLine="567"/>
        <w:contextualSpacing/>
        <w:jc w:val="both"/>
        <w:rPr>
          <w:rFonts w:ascii="Times New Arabic" w:hAnsi="Times New Arabic" w:cstheme="majorBidi"/>
          <w:szCs w:val="24"/>
        </w:rPr>
      </w:pPr>
      <w:r w:rsidRPr="00695919">
        <w:rPr>
          <w:rFonts w:ascii="Times New Arabic" w:hAnsi="Times New Arabic" w:cstheme="majorBidi"/>
          <w:szCs w:val="24"/>
        </w:rPr>
        <w:t>Secara umum perlindungan hukum terhadap pekerja menurut Philipus meliputi dua aspek, yakni aspek perlindungan terhadap kesewenangan pihak pengusaha/majikan (kekuasaan ekonomi) dan perindungan dari tindakan atau kekuasaan pemerintah. Perlindungan dari pengusaha/majikan terlaksana manakala peraturan per</w:t>
      </w:r>
      <w:r w:rsidRPr="00695919">
        <w:rPr>
          <w:rFonts w:ascii="Times New Arabic" w:hAnsi="Times New Arabic" w:cstheme="majorBidi"/>
          <w:szCs w:val="24"/>
          <w:lang w:val="id-ID"/>
        </w:rPr>
        <w:t>undang-undangan</w:t>
      </w:r>
      <w:r w:rsidRPr="00695919">
        <w:rPr>
          <w:rFonts w:ascii="Times New Arabic" w:hAnsi="Times New Arabic" w:cstheme="majorBidi"/>
          <w:szCs w:val="24"/>
        </w:rPr>
        <w:t>an yang mengatur soal perburuhan mengharuskan pengusaha bertindak sesuai dengan peraturan perudang-undangan. Sedangkan tindakan pemerintah dilakukan dengan tidak melakukan tindakan-tindakan yang melanggar hak-hak pekerja. Tindakan hukum lainnya yakni tindakan hukum yang bresifat preventif, yaitu kehati-hatian pemerintah dalam mengambil kebijakan.</w:t>
      </w:r>
      <w:r w:rsidRPr="00695919">
        <w:rPr>
          <w:rStyle w:val="FootnoteReference"/>
          <w:rFonts w:ascii="Times New Arabic" w:hAnsi="Times New Arabic" w:cstheme="majorBidi"/>
          <w:szCs w:val="24"/>
        </w:rPr>
        <w:footnoteReference w:id="20"/>
      </w:r>
      <w:r w:rsidRPr="00695919">
        <w:rPr>
          <w:rFonts w:ascii="Times New Arabic" w:hAnsi="Times New Arabic" w:cstheme="majorBidi"/>
          <w:szCs w:val="24"/>
        </w:rPr>
        <w:t xml:space="preserve"> Adapun tindakan pemerintah sebagai pembuat kebijakan, melahirkan peraturan per</w:t>
      </w:r>
      <w:r w:rsidRPr="00695919">
        <w:rPr>
          <w:rFonts w:ascii="Times New Arabic" w:hAnsi="Times New Arabic" w:cstheme="majorBidi"/>
          <w:szCs w:val="24"/>
          <w:lang w:val="id-ID"/>
        </w:rPr>
        <w:t>undang-undang</w:t>
      </w:r>
      <w:r w:rsidRPr="00695919">
        <w:rPr>
          <w:rFonts w:ascii="Times New Arabic" w:hAnsi="Times New Arabic" w:cstheme="majorBidi"/>
          <w:szCs w:val="24"/>
        </w:rPr>
        <w:t>an yang tidak hanya diukur secara yuridis saja, tetapi memenuhi unsur sosiologis dan filosofis.</w:t>
      </w:r>
      <w:r w:rsidRPr="00695919">
        <w:rPr>
          <w:rStyle w:val="FootnoteReference"/>
          <w:rFonts w:ascii="Times New Arabic" w:hAnsi="Times New Arabic" w:cstheme="majorBidi"/>
          <w:szCs w:val="24"/>
        </w:rPr>
        <w:footnoteReference w:id="21"/>
      </w:r>
    </w:p>
    <w:p w:rsidR="0057191F" w:rsidRPr="00695919" w:rsidRDefault="0057191F" w:rsidP="00E77617">
      <w:pPr>
        <w:spacing w:line="276" w:lineRule="auto"/>
        <w:ind w:firstLine="567"/>
        <w:contextualSpacing/>
        <w:jc w:val="both"/>
        <w:rPr>
          <w:rFonts w:ascii="Times New Arabic" w:hAnsi="Times New Arabic" w:cstheme="majorBidi"/>
          <w:szCs w:val="24"/>
        </w:rPr>
      </w:pPr>
      <w:r w:rsidRPr="00695919">
        <w:rPr>
          <w:rFonts w:ascii="Times New Arabic" w:hAnsi="Times New Arabic" w:cstheme="majorBidi"/>
          <w:szCs w:val="24"/>
        </w:rPr>
        <w:t>Dalam mencegah terjadinya kesewenangan yang dilakukan oleh pengusah/majikan terhadap pekerja, diperlukan adanya hukum publik yang dapat menjadi sarana perlindungan hukum bagi pekerja, terutama melindungi hak-hak dasarnya. Hukum publik dalam hukum perburuhan dilakukan melalui upaya intervensi pemer</w:t>
      </w:r>
      <w:r w:rsidR="00D40C6B" w:rsidRPr="00695919">
        <w:rPr>
          <w:rFonts w:ascii="Times New Arabic" w:hAnsi="Times New Arabic" w:cstheme="majorBidi"/>
          <w:szCs w:val="24"/>
        </w:rPr>
        <w:t>intah sebagai pembuat kebijakan</w:t>
      </w:r>
      <w:r w:rsidR="008F6AFF" w:rsidRPr="00695919">
        <w:rPr>
          <w:rFonts w:ascii="Times New Arabic" w:hAnsi="Times New Arabic" w:cstheme="majorBidi"/>
          <w:szCs w:val="24"/>
        </w:rPr>
        <w:t xml:space="preserve"> yang saat ini dimanifestasikan dalam Undang-Undang Ketenagakerjaan</w:t>
      </w:r>
      <w:r w:rsidRPr="00695919">
        <w:rPr>
          <w:rFonts w:ascii="Times New Arabic" w:hAnsi="Times New Arabic" w:cstheme="majorBidi"/>
          <w:szCs w:val="24"/>
        </w:rPr>
        <w:t>.</w:t>
      </w:r>
      <w:r w:rsidRPr="00695919">
        <w:rPr>
          <w:rStyle w:val="FootnoteReference"/>
          <w:rFonts w:ascii="Times New Arabic" w:hAnsi="Times New Arabic" w:cstheme="majorBidi"/>
          <w:szCs w:val="24"/>
        </w:rPr>
        <w:footnoteReference w:id="22"/>
      </w:r>
      <w:r w:rsidRPr="00695919">
        <w:rPr>
          <w:rFonts w:ascii="Times New Arabic" w:hAnsi="Times New Arabic" w:cstheme="majorBidi"/>
          <w:szCs w:val="24"/>
        </w:rPr>
        <w:t>Urgensitas intervensi pemerintah dalam hukum perburuhan, dapat dilihat manakala terjadinya hubungan kerja yang dilakukan oleh pekerja dan pengusaha.</w:t>
      </w:r>
      <w:r w:rsidRPr="00695919">
        <w:rPr>
          <w:rStyle w:val="FootnoteReference"/>
          <w:rFonts w:ascii="Times New Arabic" w:hAnsi="Times New Arabic" w:cstheme="majorBidi"/>
          <w:szCs w:val="24"/>
        </w:rPr>
        <w:footnoteReference w:id="23"/>
      </w:r>
      <w:r w:rsidRPr="00695919">
        <w:rPr>
          <w:rFonts w:ascii="Times New Arabic" w:hAnsi="Times New Arabic" w:cstheme="majorBidi"/>
          <w:szCs w:val="24"/>
        </w:rPr>
        <w:t xml:space="preserve"> Sebab pada dasarnya, hubungan antara pekerja dengan </w:t>
      </w:r>
      <w:r w:rsidRPr="00695919">
        <w:rPr>
          <w:rFonts w:ascii="Times New Arabic" w:hAnsi="Times New Arabic" w:cstheme="majorBidi"/>
          <w:szCs w:val="24"/>
        </w:rPr>
        <w:lastRenderedPageBreak/>
        <w:t>pengusaha menurut Prof Aloysius kendati secara yuridis menghendaki adanya kesetaraan (</w:t>
      </w:r>
      <w:r w:rsidRPr="00695919">
        <w:rPr>
          <w:rFonts w:ascii="Times New Arabic" w:hAnsi="Times New Arabic" w:cstheme="majorBidi"/>
          <w:i/>
          <w:iCs/>
          <w:szCs w:val="24"/>
        </w:rPr>
        <w:t>equality before the law</w:t>
      </w:r>
      <w:r w:rsidRPr="00695919">
        <w:rPr>
          <w:rFonts w:ascii="Times New Arabic" w:hAnsi="Times New Arabic" w:cstheme="majorBidi"/>
          <w:szCs w:val="24"/>
        </w:rPr>
        <w:t>), namun secara sosiologis kedudukan antara kedunya timpang.</w:t>
      </w:r>
      <w:r w:rsidRPr="00695919">
        <w:rPr>
          <w:rStyle w:val="FootnoteReference"/>
          <w:rFonts w:ascii="Times New Arabic" w:hAnsi="Times New Arabic" w:cstheme="majorBidi"/>
          <w:szCs w:val="24"/>
        </w:rPr>
        <w:footnoteReference w:id="24"/>
      </w:r>
      <w:r w:rsidRPr="00695919">
        <w:rPr>
          <w:rFonts w:ascii="Times New Arabic" w:hAnsi="Times New Arabic" w:cstheme="majorBidi"/>
          <w:szCs w:val="24"/>
        </w:rPr>
        <w:t xml:space="preserve"> Intervensi pemerintah juga merubah paradigma hukum ketengakerjaan yang sebelumnya mencakup hubungan dua belah pihak (</w:t>
      </w:r>
      <w:r w:rsidRPr="00695919">
        <w:rPr>
          <w:rFonts w:ascii="Times New Arabic" w:hAnsi="Times New Arabic" w:cstheme="majorBidi"/>
          <w:i/>
          <w:iCs/>
          <w:szCs w:val="24"/>
        </w:rPr>
        <w:t>bipartit</w:t>
      </w:r>
      <w:r w:rsidRPr="00695919">
        <w:rPr>
          <w:rFonts w:ascii="Times New Arabic" w:hAnsi="Times New Arabic" w:cstheme="majorBidi"/>
          <w:szCs w:val="24"/>
        </w:rPr>
        <w:t>) antara pengusaha dengan pekerja menjadi tiga pihak (</w:t>
      </w:r>
      <w:r w:rsidRPr="00695919">
        <w:rPr>
          <w:rFonts w:ascii="Times New Arabic" w:hAnsi="Times New Arabic" w:cstheme="majorBidi"/>
          <w:i/>
          <w:iCs/>
          <w:szCs w:val="24"/>
        </w:rPr>
        <w:t>tripartit</w:t>
      </w:r>
      <w:r w:rsidRPr="00695919">
        <w:rPr>
          <w:rFonts w:ascii="Times New Arabic" w:hAnsi="Times New Arabic" w:cstheme="majorBidi"/>
          <w:szCs w:val="24"/>
        </w:rPr>
        <w:t>) dengan pihak ketiga yaitu pemerintah. Tindakan ini merupakan manifestasi dari unsur pokok negara hukum berdasarkan pandangan J.F Stahl, yaitu perlindungan hukum dan pemenuhan hak asasi manusia.</w:t>
      </w:r>
      <w:r w:rsidRPr="00695919">
        <w:rPr>
          <w:rStyle w:val="FootnoteReference"/>
          <w:rFonts w:ascii="Times New Arabic" w:hAnsi="Times New Arabic" w:cstheme="majorBidi"/>
          <w:szCs w:val="24"/>
        </w:rPr>
        <w:footnoteReference w:id="25"/>
      </w:r>
    </w:p>
    <w:p w:rsidR="0057191F" w:rsidRPr="00695919" w:rsidRDefault="0057191F" w:rsidP="00E77617">
      <w:pPr>
        <w:spacing w:line="276" w:lineRule="auto"/>
        <w:ind w:firstLine="567"/>
        <w:contextualSpacing/>
        <w:jc w:val="both"/>
        <w:rPr>
          <w:rFonts w:ascii="Times New Arabic" w:hAnsi="Times New Arabic" w:cstheme="majorBidi"/>
          <w:szCs w:val="24"/>
        </w:rPr>
      </w:pPr>
      <w:r w:rsidRPr="00695919">
        <w:rPr>
          <w:rFonts w:ascii="Times New Arabic" w:hAnsi="Times New Arabic" w:cstheme="majorBidi"/>
          <w:szCs w:val="24"/>
        </w:rPr>
        <w:t>Perlindungan hukum bagi para pekerja juga memata-mata untuk mewujudkan keadilan sosial di bidang ketenagakerjaan dengan jalan perlindungan terhadap kekuasaan pengusaha/majikan yang tidak terbatas melalui sarana peraturan per</w:t>
      </w:r>
      <w:r w:rsidRPr="00695919">
        <w:rPr>
          <w:rFonts w:ascii="Times New Arabic" w:hAnsi="Times New Arabic" w:cstheme="majorBidi"/>
          <w:szCs w:val="24"/>
          <w:lang w:val="id-ID"/>
        </w:rPr>
        <w:t>undang-undang</w:t>
      </w:r>
      <w:r w:rsidRPr="00695919">
        <w:rPr>
          <w:rFonts w:ascii="Times New Arabic" w:hAnsi="Times New Arabic" w:cstheme="majorBidi"/>
          <w:szCs w:val="24"/>
        </w:rPr>
        <w:t>an yang ada.</w:t>
      </w:r>
      <w:r w:rsidRPr="00695919">
        <w:rPr>
          <w:rStyle w:val="FootnoteReference"/>
          <w:rFonts w:ascii="Times New Arabic" w:hAnsi="Times New Arabic" w:cstheme="majorBidi"/>
          <w:szCs w:val="24"/>
        </w:rPr>
        <w:footnoteReference w:id="26"/>
      </w:r>
      <w:r w:rsidRPr="00695919">
        <w:rPr>
          <w:rFonts w:ascii="Times New Arabic" w:hAnsi="Times New Arabic" w:cstheme="majorBidi"/>
          <w:szCs w:val="24"/>
        </w:rPr>
        <w:t xml:space="preserve"> Hal ini dikarenakan ikatan antara pengusaha dan pekerja dalam hubungan kerja kerap kali mengalami </w:t>
      </w:r>
      <w:r w:rsidRPr="00695919">
        <w:rPr>
          <w:rFonts w:ascii="Times New Arabic" w:hAnsi="Times New Arabic" w:cstheme="majorBidi"/>
          <w:i/>
          <w:iCs/>
          <w:szCs w:val="24"/>
        </w:rPr>
        <w:t>sub-ordinate</w:t>
      </w:r>
      <w:r w:rsidRPr="00695919">
        <w:rPr>
          <w:rFonts w:ascii="Times New Arabic" w:hAnsi="Times New Arabic" w:cstheme="majorBidi"/>
          <w:szCs w:val="24"/>
        </w:rPr>
        <w:t>, yaitu posisi pihak yang memiliki kedudukan ekonomi dan psikologis lebih tinggi dapat mendominasi dalam melakukan perjanjian, sehingga dapat menekan pihak lain di bawahnya.</w:t>
      </w:r>
      <w:r w:rsidRPr="00695919">
        <w:rPr>
          <w:rStyle w:val="FootnoteReference"/>
          <w:rFonts w:ascii="Times New Arabic" w:hAnsi="Times New Arabic" w:cstheme="majorBidi"/>
          <w:szCs w:val="24"/>
        </w:rPr>
        <w:footnoteReference w:id="27"/>
      </w:r>
      <w:r w:rsidRPr="00695919">
        <w:rPr>
          <w:rFonts w:ascii="Times New Arabic" w:hAnsi="Times New Arabic" w:cstheme="majorBidi"/>
          <w:szCs w:val="24"/>
        </w:rPr>
        <w:t xml:space="preserve"> Hal ini tentunya sangat tidak dibenarkan dalam ikatan perjanjian, sebab termasuk dalam penyalahgunaan keadaan (</w:t>
      </w:r>
      <w:r w:rsidRPr="00695919">
        <w:rPr>
          <w:rFonts w:ascii="Times New Arabic" w:hAnsi="Times New Arabic" w:cstheme="majorBidi"/>
          <w:i/>
          <w:iCs/>
          <w:szCs w:val="24"/>
        </w:rPr>
        <w:t>misbruik van omstandigheden</w:t>
      </w:r>
      <w:r w:rsidRPr="00695919">
        <w:rPr>
          <w:rFonts w:ascii="Times New Arabic" w:hAnsi="Times New Arabic" w:cstheme="majorBidi"/>
          <w:szCs w:val="24"/>
        </w:rPr>
        <w:t>)</w:t>
      </w:r>
      <w:r w:rsidRPr="00695919">
        <w:rPr>
          <w:rStyle w:val="FootnoteReference"/>
          <w:rFonts w:ascii="Times New Arabic" w:hAnsi="Times New Arabic" w:cstheme="majorBidi"/>
          <w:szCs w:val="24"/>
        </w:rPr>
        <w:footnoteReference w:id="28"/>
      </w:r>
      <w:r w:rsidRPr="00695919">
        <w:rPr>
          <w:rFonts w:ascii="Times New Arabic" w:hAnsi="Times New Arabic" w:cstheme="majorBidi"/>
          <w:szCs w:val="24"/>
        </w:rPr>
        <w:t xml:space="preserve">. Agar dapat menekan terjadinya relasi hukum yang timpang antara pengusaha/majikan dan pekerja, hukum ketenagakerjaan haruslah mengimplementasi asas keseimbangan. Melalui manifestasi dari asas keseimbangan, diharapkan dapat mencapai tujuan bersama sekaligus memberikan rasa keadilan.  Sehingga, hukum ketengakerjaan menjadi sarana </w:t>
      </w:r>
      <w:r w:rsidRPr="00695919">
        <w:rPr>
          <w:rFonts w:ascii="Times New Arabic" w:hAnsi="Times New Arabic" w:cstheme="majorBidi"/>
          <w:szCs w:val="24"/>
        </w:rPr>
        <w:lastRenderedPageBreak/>
        <w:t>kepastian hukum yang memberikan perlindungan terutama bagi pekerja untuk mendapatkan hak-hak dasarnya.</w:t>
      </w:r>
      <w:r w:rsidRPr="00695919">
        <w:rPr>
          <w:rStyle w:val="FootnoteReference"/>
          <w:rFonts w:ascii="Times New Arabic" w:hAnsi="Times New Arabic" w:cstheme="majorBidi"/>
          <w:szCs w:val="24"/>
        </w:rPr>
        <w:footnoteReference w:id="29"/>
      </w:r>
    </w:p>
    <w:p w:rsidR="0057191F" w:rsidRPr="00695919" w:rsidRDefault="0057191F" w:rsidP="00E77617">
      <w:pPr>
        <w:spacing w:line="276" w:lineRule="auto"/>
        <w:ind w:firstLine="567"/>
        <w:contextualSpacing/>
        <w:jc w:val="both"/>
        <w:rPr>
          <w:rFonts w:ascii="Times New Arabic" w:hAnsi="Times New Arabic" w:cstheme="majorBidi"/>
          <w:szCs w:val="24"/>
        </w:rPr>
      </w:pPr>
      <w:r w:rsidRPr="00695919">
        <w:rPr>
          <w:rFonts w:ascii="Times New Arabic" w:eastAsia="Calibri" w:hAnsi="Times New Arabic" w:cs="Times New Roman"/>
          <w:szCs w:val="24"/>
        </w:rPr>
        <w:t>Peranan hukum ketengakerjaan yaitu mengupayakan adanya penyamaan keadilan sosial ekonomi tenaga kerja serta harus dilalui dalam mengatur kebutuhan ekonomi pekerja sesuai dengan Pancasila dan UUD 1945.</w:t>
      </w:r>
      <w:r w:rsidRPr="00695919">
        <w:rPr>
          <w:rStyle w:val="FootnoteReference"/>
          <w:rFonts w:ascii="Times New Arabic" w:eastAsia="Calibri" w:hAnsi="Times New Arabic" w:cs="Times New Roman"/>
          <w:szCs w:val="24"/>
        </w:rPr>
        <w:footnoteReference w:id="30"/>
      </w:r>
      <w:r w:rsidRPr="00695919">
        <w:rPr>
          <w:rFonts w:ascii="Times New Arabic" w:eastAsia="Calibri" w:hAnsi="Times New Arabic" w:cs="Times New Roman"/>
          <w:szCs w:val="24"/>
        </w:rPr>
        <w:t xml:space="preserve"> Pasal 5 dan 6 U</w:t>
      </w:r>
      <w:r w:rsidRPr="00695919">
        <w:rPr>
          <w:rFonts w:ascii="Times New Arabic" w:eastAsia="Calibri" w:hAnsi="Times New Arabic" w:cs="Times New Roman"/>
          <w:szCs w:val="24"/>
          <w:lang w:val="id-ID"/>
        </w:rPr>
        <w:t>ndang-</w:t>
      </w:r>
      <w:r w:rsidRPr="00695919">
        <w:rPr>
          <w:rFonts w:ascii="Times New Arabic" w:eastAsia="Calibri" w:hAnsi="Times New Arabic" w:cs="Times New Roman"/>
          <w:szCs w:val="24"/>
        </w:rPr>
        <w:t>U</w:t>
      </w:r>
      <w:r w:rsidRPr="00695919">
        <w:rPr>
          <w:rFonts w:ascii="Times New Arabic" w:eastAsia="Calibri" w:hAnsi="Times New Arabic" w:cs="Times New Roman"/>
          <w:szCs w:val="24"/>
          <w:lang w:val="id-ID"/>
        </w:rPr>
        <w:t>ndang</w:t>
      </w:r>
      <w:r w:rsidRPr="00695919">
        <w:rPr>
          <w:rFonts w:ascii="Times New Arabic" w:eastAsia="Calibri" w:hAnsi="Times New Arabic" w:cs="Times New Roman"/>
          <w:szCs w:val="24"/>
        </w:rPr>
        <w:t xml:space="preserve"> </w:t>
      </w:r>
      <w:r w:rsidRPr="00695919">
        <w:rPr>
          <w:rFonts w:ascii="Times New Arabic" w:eastAsia="Calibri" w:hAnsi="Times New Arabic" w:cs="Times New Roman"/>
          <w:szCs w:val="24"/>
          <w:lang w:val="id-ID"/>
        </w:rPr>
        <w:t>Nomor</w:t>
      </w:r>
      <w:r w:rsidRPr="00695919">
        <w:rPr>
          <w:rFonts w:ascii="Times New Arabic" w:eastAsia="Calibri" w:hAnsi="Times New Arabic" w:cs="Times New Roman"/>
          <w:szCs w:val="24"/>
        </w:rPr>
        <w:t xml:space="preserve"> 13 Tahun 2003 tentang Ketenagekerjaan (selanjutnya disebut U</w:t>
      </w:r>
      <w:r w:rsidRPr="00695919">
        <w:rPr>
          <w:rFonts w:ascii="Times New Arabic" w:eastAsia="Calibri" w:hAnsi="Times New Arabic" w:cs="Times New Roman"/>
          <w:szCs w:val="24"/>
          <w:lang w:val="id-ID"/>
        </w:rPr>
        <w:t>ndang-Undang</w:t>
      </w:r>
      <w:r w:rsidRPr="00695919">
        <w:rPr>
          <w:rFonts w:ascii="Times New Arabic" w:eastAsia="Calibri" w:hAnsi="Times New Arabic" w:cs="Times New Roman"/>
          <w:szCs w:val="24"/>
        </w:rPr>
        <w:t xml:space="preserve"> Ketenagakerjaan) menyebutkan bahwa setiap </w:t>
      </w:r>
      <w:r w:rsidRPr="00695919">
        <w:rPr>
          <w:rFonts w:ascii="Times New Arabic" w:hAnsi="Times New Arabic" w:cstheme="majorBidi"/>
          <w:szCs w:val="24"/>
        </w:rPr>
        <w:t>tenaga kerja memiliki kesempatan yang sama tanpa diskriminasi untuk memperoleh pekerjaan dan setiap pekerja/buruh berhak memperoleh perlakuan yang sama tanpa diskriminasi dari pengusaha.</w:t>
      </w:r>
      <w:r w:rsidRPr="00695919">
        <w:rPr>
          <w:rStyle w:val="FootnoteReference"/>
          <w:rFonts w:ascii="Times New Arabic" w:hAnsi="Times New Arabic" w:cstheme="majorBidi"/>
          <w:szCs w:val="24"/>
        </w:rPr>
        <w:footnoteReference w:id="31"/>
      </w:r>
      <w:r w:rsidRPr="00695919">
        <w:rPr>
          <w:rFonts w:ascii="Times New Arabic" w:hAnsi="Times New Arabic" w:cstheme="majorBidi"/>
          <w:sz w:val="28"/>
          <w:szCs w:val="28"/>
        </w:rPr>
        <w:t xml:space="preserve"> </w:t>
      </w:r>
    </w:p>
    <w:p w:rsidR="00885B14" w:rsidRPr="00695919" w:rsidRDefault="0057191F" w:rsidP="00E77617">
      <w:pPr>
        <w:spacing w:line="276" w:lineRule="auto"/>
        <w:ind w:firstLine="567"/>
        <w:contextualSpacing/>
        <w:jc w:val="both"/>
        <w:rPr>
          <w:rFonts w:ascii="Times New Arabic" w:hAnsi="Times New Arabic" w:cstheme="majorBidi"/>
          <w:szCs w:val="24"/>
        </w:rPr>
      </w:pPr>
      <w:r w:rsidRPr="00695919">
        <w:rPr>
          <w:rFonts w:ascii="Times New Arabic" w:hAnsi="Times New Arabic" w:cstheme="majorBidi"/>
          <w:szCs w:val="24"/>
        </w:rPr>
        <w:t>Pemberian perlindungan hukum bagi pekerja menurut Imam Soep</w:t>
      </w:r>
      <w:r w:rsidR="00D40C6B" w:rsidRPr="00695919">
        <w:rPr>
          <w:rFonts w:ascii="Times New Arabic" w:hAnsi="Times New Arabic" w:cstheme="majorBidi"/>
          <w:szCs w:val="24"/>
        </w:rPr>
        <w:t>omo berfokus pada 5 (</w:t>
      </w:r>
      <w:proofErr w:type="gramStart"/>
      <w:r w:rsidR="00D40C6B" w:rsidRPr="00695919">
        <w:rPr>
          <w:rFonts w:ascii="Times New Arabic" w:hAnsi="Times New Arabic" w:cstheme="majorBidi"/>
          <w:szCs w:val="24"/>
        </w:rPr>
        <w:t>lima</w:t>
      </w:r>
      <w:proofErr w:type="gramEnd"/>
      <w:r w:rsidRPr="00695919">
        <w:rPr>
          <w:rFonts w:ascii="Times New Arabic" w:hAnsi="Times New Arabic" w:cstheme="majorBidi"/>
          <w:szCs w:val="24"/>
        </w:rPr>
        <w:t>)</w:t>
      </w:r>
      <w:r w:rsidR="00D40C6B" w:rsidRPr="00695919">
        <w:rPr>
          <w:rFonts w:ascii="Times New Arabic" w:hAnsi="Times New Arabic" w:cstheme="majorBidi"/>
          <w:szCs w:val="24"/>
        </w:rPr>
        <w:t xml:space="preserve"> bidang</w:t>
      </w:r>
      <w:r w:rsidRPr="00695919">
        <w:rPr>
          <w:rFonts w:ascii="Times New Arabic" w:hAnsi="Times New Arabic" w:cstheme="majorBidi"/>
          <w:szCs w:val="24"/>
        </w:rPr>
        <w:t>, yakni: 1) pengarahan dan/atau penempatan kerja; 2) hubungan kerja; 3) kesehatan kerja; 4) keamanan kerja; dan 5) jaminan sosial buruh.</w:t>
      </w:r>
      <w:r w:rsidRPr="00695919">
        <w:rPr>
          <w:rStyle w:val="FootnoteReference"/>
          <w:rFonts w:ascii="Times New Arabic" w:hAnsi="Times New Arabic" w:cstheme="majorBidi"/>
          <w:szCs w:val="24"/>
        </w:rPr>
        <w:footnoteReference w:id="32"/>
      </w:r>
      <w:r w:rsidRPr="00695919">
        <w:rPr>
          <w:rFonts w:ascii="Times New Arabic" w:hAnsi="Times New Arabic" w:cstheme="majorBidi"/>
          <w:szCs w:val="24"/>
        </w:rPr>
        <w:t xml:space="preserve"> Selanjutnya Imam Soepomo mengelompokan 5 (</w:t>
      </w:r>
      <w:proofErr w:type="gramStart"/>
      <w:r w:rsidRPr="00695919">
        <w:rPr>
          <w:rFonts w:ascii="Times New Arabic" w:hAnsi="Times New Arabic" w:cstheme="majorBidi"/>
          <w:szCs w:val="24"/>
        </w:rPr>
        <w:t>lima</w:t>
      </w:r>
      <w:proofErr w:type="gramEnd"/>
      <w:r w:rsidRPr="00695919">
        <w:rPr>
          <w:rFonts w:ascii="Times New Arabic" w:hAnsi="Times New Arabic" w:cstheme="majorBidi"/>
          <w:szCs w:val="24"/>
        </w:rPr>
        <w:t>) perlindungan hukum tersebut menjadi 3 (tiga) jenis perlindungan, yaitu perlindungan secara ekonomis, perlindungan sosial dan perlindungan teknis.</w:t>
      </w:r>
      <w:r w:rsidRPr="00695919">
        <w:rPr>
          <w:rStyle w:val="FootnoteReference"/>
          <w:rFonts w:ascii="Times New Arabic" w:hAnsi="Times New Arabic" w:cstheme="majorBidi"/>
          <w:szCs w:val="24"/>
        </w:rPr>
        <w:footnoteReference w:id="33"/>
      </w:r>
      <w:r w:rsidRPr="00695919">
        <w:rPr>
          <w:rFonts w:ascii="Times New Arabic" w:hAnsi="Times New Arabic" w:cstheme="majorBidi"/>
          <w:szCs w:val="24"/>
        </w:rPr>
        <w:t xml:space="preserve"> Perlindungan ekonomis merupakan perlindungan terhadap pekerja yang menitikberatkan pada penghasilan yang cukup, termasuk saat pekerja tidak dapat bekerja di luar kehendaknya. Perlindungan ekonomis juga sering diistilahkan sebagai jaminan sosial. Sedangkan perlindungan sosial merupakan perlindungan terhadap pekerja yang dimanifestasikan dalam bentuk jaminan kesehatan kerja, dan jaminan adanya kebebasan untuk berserikat dan hak berorganisasi. Adapun yang terakhir yaitu perlindungan teknis yang merupakan perlindungan terhadap pekerja yang ruang lingkupnya berupa keamanan dan keselamatan kerja.</w:t>
      </w:r>
      <w:r w:rsidRPr="00695919">
        <w:rPr>
          <w:rStyle w:val="FootnoteReference"/>
          <w:rFonts w:ascii="Times New Arabic" w:hAnsi="Times New Arabic" w:cstheme="majorBidi"/>
          <w:szCs w:val="24"/>
        </w:rPr>
        <w:footnoteReference w:id="34"/>
      </w:r>
    </w:p>
    <w:p w:rsidR="00D118B2" w:rsidRPr="00695919" w:rsidRDefault="00D118B2" w:rsidP="00E77617">
      <w:pPr>
        <w:spacing w:line="276" w:lineRule="auto"/>
        <w:ind w:firstLine="567"/>
        <w:contextualSpacing/>
        <w:jc w:val="both"/>
        <w:rPr>
          <w:rFonts w:ascii="Times New Arabic" w:hAnsi="Times New Arabic" w:cstheme="majorBidi"/>
          <w:szCs w:val="24"/>
        </w:rPr>
      </w:pPr>
    </w:p>
    <w:p w:rsidR="00D118B2" w:rsidRPr="00695919" w:rsidRDefault="00D118B2" w:rsidP="00E77617">
      <w:pPr>
        <w:spacing w:line="276" w:lineRule="auto"/>
        <w:contextualSpacing/>
        <w:jc w:val="both"/>
        <w:rPr>
          <w:rFonts w:ascii="Times New Arabic" w:hAnsi="Times New Arabic" w:cstheme="majorBidi"/>
          <w:b/>
          <w:bCs/>
          <w:szCs w:val="24"/>
        </w:rPr>
      </w:pPr>
      <w:r w:rsidRPr="00695919">
        <w:rPr>
          <w:rFonts w:ascii="Times New Arabic" w:hAnsi="Times New Arabic" w:cstheme="majorBidi"/>
          <w:b/>
          <w:bCs/>
          <w:szCs w:val="24"/>
        </w:rPr>
        <w:t>KONSEP FIKIH HAM MENURUT ABDULLAHI AHMED AN-NA’IM</w:t>
      </w:r>
    </w:p>
    <w:p w:rsidR="001D5DEC" w:rsidRPr="00695919" w:rsidRDefault="002A1EA6" w:rsidP="00E77617">
      <w:pPr>
        <w:spacing w:line="276" w:lineRule="auto"/>
        <w:ind w:firstLine="426"/>
        <w:contextualSpacing/>
        <w:jc w:val="both"/>
        <w:rPr>
          <w:rFonts w:ascii="Times New Arabic" w:eastAsia="PMingLiU" w:hAnsi="Times New Arabic" w:cs="Times New Roman"/>
          <w:szCs w:val="24"/>
          <w:lang w:eastAsia="en-GB"/>
        </w:rPr>
      </w:pPr>
      <w:r w:rsidRPr="00695919">
        <w:rPr>
          <w:rFonts w:ascii="Times New Arabic" w:hAnsi="Times New Arabic" w:cstheme="majorBidi"/>
          <w:b/>
          <w:bCs/>
          <w:color w:val="000000" w:themeColor="text1"/>
          <w:szCs w:val="24"/>
        </w:rPr>
        <w:tab/>
      </w:r>
      <w:r w:rsidR="001D5DEC" w:rsidRPr="00695919">
        <w:rPr>
          <w:rFonts w:ascii="Times New Arabic" w:eastAsia="Calibri" w:hAnsi="Times New Arabic" w:cs="Times New Roman"/>
          <w:szCs w:val="24"/>
        </w:rPr>
        <w:t xml:space="preserve">Abdullahi Ahmed </w:t>
      </w:r>
      <w:r w:rsidR="001D5DEC" w:rsidRPr="00695919">
        <w:rPr>
          <w:rFonts w:ascii="Times New Arabic" w:hAnsi="Times New Arabic" w:cstheme="majorBidi"/>
          <w:szCs w:val="24"/>
          <w:lang w:val="id-ID"/>
        </w:rPr>
        <w:t>a</w:t>
      </w:r>
      <w:r w:rsidR="001D5DEC" w:rsidRPr="00695919">
        <w:rPr>
          <w:rFonts w:ascii="Times New Arabic" w:hAnsi="Times New Arabic" w:cstheme="majorBidi"/>
          <w:szCs w:val="24"/>
        </w:rPr>
        <w:t>n-Na’im</w:t>
      </w:r>
      <w:r w:rsidR="001D5DEC" w:rsidRPr="00695919">
        <w:rPr>
          <w:rFonts w:ascii="Times New Arabic" w:eastAsia="Calibri" w:hAnsi="Times New Arabic" w:cs="Times New Roman"/>
          <w:szCs w:val="24"/>
        </w:rPr>
        <w:t xml:space="preserve">, salah seorang pemikir Islam kontemporer, dalam </w:t>
      </w:r>
      <w:r w:rsidR="001D5DEC" w:rsidRPr="00695919">
        <w:rPr>
          <w:rFonts w:ascii="Times New Arabic" w:eastAsia="PMingLiU" w:hAnsi="Times New Arabic" w:cs="Times New Roman"/>
          <w:szCs w:val="24"/>
          <w:lang w:eastAsia="en-GB"/>
        </w:rPr>
        <w:t xml:space="preserve">karyanya berjudul “dekonstruksi syariah” menyatakan bahwa negara-negara Barat melalui lembaga PBB dengan berbagai produk konvensi hak asasinya berkeinginan </w:t>
      </w:r>
      <w:r w:rsidR="001D5DEC" w:rsidRPr="00695919">
        <w:rPr>
          <w:rFonts w:ascii="Times New Arabic" w:eastAsia="PMingLiU" w:hAnsi="Times New Arabic" w:cs="Times New Roman"/>
          <w:szCs w:val="24"/>
          <w:lang w:eastAsia="en-GB"/>
        </w:rPr>
        <w:lastRenderedPageBreak/>
        <w:t>untuk menyamakan persepsi tentang standar universalitas hak asasi manusia yang harus ditaati oleh setiap negara di dunia.</w:t>
      </w:r>
      <w:r w:rsidR="001D5DEC" w:rsidRPr="00695919">
        <w:rPr>
          <w:rFonts w:ascii="Times New Arabic" w:eastAsia="PMingLiU" w:hAnsi="Times New Arabic" w:cs="Times New Roman"/>
          <w:szCs w:val="24"/>
          <w:vertAlign w:val="superscript"/>
          <w:lang w:eastAsia="en-GB"/>
        </w:rPr>
        <w:footnoteReference w:id="35"/>
      </w:r>
      <w:r w:rsidR="001D5DEC" w:rsidRPr="00695919">
        <w:rPr>
          <w:rFonts w:ascii="Times New Arabic" w:eastAsia="PMingLiU" w:hAnsi="Times New Arabic" w:cs="Times New Roman"/>
          <w:szCs w:val="24"/>
          <w:lang w:eastAsia="en-GB"/>
        </w:rPr>
        <w:t xml:space="preserve"> Upaya tersebut memunculkan perdebatan yang luar biasa, sebab setiap negara khususnya negara Timur termasuk negara-negara </w:t>
      </w:r>
      <w:proofErr w:type="gramStart"/>
      <w:r w:rsidR="001D5DEC" w:rsidRPr="00695919">
        <w:rPr>
          <w:rFonts w:ascii="Times New Arabic" w:eastAsia="PMingLiU" w:hAnsi="Times New Arabic" w:cs="Times New Roman"/>
          <w:szCs w:val="24"/>
          <w:lang w:eastAsia="en-GB"/>
        </w:rPr>
        <w:t>muslim</w:t>
      </w:r>
      <w:proofErr w:type="gramEnd"/>
      <w:r w:rsidR="001D5DEC" w:rsidRPr="00695919">
        <w:rPr>
          <w:rFonts w:ascii="Times New Arabic" w:eastAsia="PMingLiU" w:hAnsi="Times New Arabic" w:cs="Times New Roman"/>
          <w:szCs w:val="24"/>
          <w:lang w:eastAsia="en-GB"/>
        </w:rPr>
        <w:t xml:space="preserve">, telah mempunyai konsep HAM tersendiri. Namun, dalam pandangan </w:t>
      </w:r>
      <w:r w:rsidR="001D5DEC" w:rsidRPr="00695919">
        <w:rPr>
          <w:rFonts w:ascii="Times New Arabic" w:hAnsi="Times New Arabic" w:cstheme="majorBidi"/>
          <w:szCs w:val="24"/>
          <w:lang w:val="id-ID"/>
        </w:rPr>
        <w:t>a</w:t>
      </w:r>
      <w:r w:rsidR="001D5DEC" w:rsidRPr="00695919">
        <w:rPr>
          <w:rFonts w:ascii="Times New Arabic" w:hAnsi="Times New Arabic" w:cstheme="majorBidi"/>
          <w:szCs w:val="24"/>
        </w:rPr>
        <w:t>n-Na’im</w:t>
      </w:r>
      <w:r w:rsidR="001D5DEC" w:rsidRPr="00695919">
        <w:rPr>
          <w:rFonts w:ascii="Times New Arabic" w:eastAsia="PMingLiU" w:hAnsi="Times New Arabic" w:cs="Times New Roman"/>
          <w:szCs w:val="24"/>
          <w:lang w:eastAsia="en-GB"/>
        </w:rPr>
        <w:t xml:space="preserve">, konsep HAM yang bersifat regional tersebut harus disesuaikan dengan </w:t>
      </w:r>
      <w:r w:rsidR="001D5DEC" w:rsidRPr="00695919">
        <w:rPr>
          <w:rFonts w:ascii="Times New Arabic" w:eastAsia="PMingLiU" w:hAnsi="Times New Arabic" w:cs="Times New Roman"/>
          <w:i/>
          <w:szCs w:val="24"/>
          <w:lang w:eastAsia="en-GB"/>
        </w:rPr>
        <w:t>umbrella concept</w:t>
      </w:r>
      <w:r w:rsidR="001D5DEC" w:rsidRPr="00695919">
        <w:rPr>
          <w:rFonts w:ascii="Times New Arabic" w:eastAsia="PMingLiU" w:hAnsi="Times New Arabic" w:cs="Times New Roman"/>
          <w:szCs w:val="24"/>
          <w:lang w:eastAsia="en-GB"/>
        </w:rPr>
        <w:t xml:space="preserve"> HAM yang lebih universal yaitu konvensi HAM Internasional. Sehingga prinsip yang bersifat internasional ini tidak boleh ditolak oleh semua negara.</w:t>
      </w:r>
    </w:p>
    <w:p w:rsidR="001D5DEC" w:rsidRPr="00695919" w:rsidRDefault="001D5DEC" w:rsidP="00E77617">
      <w:pPr>
        <w:spacing w:line="276" w:lineRule="auto"/>
        <w:ind w:firstLine="426"/>
        <w:contextualSpacing/>
        <w:jc w:val="both"/>
        <w:rPr>
          <w:rFonts w:ascii="Times New Arabic" w:eastAsia="PMingLiU" w:hAnsi="Times New Arabic" w:cs="Times New Roman"/>
          <w:szCs w:val="24"/>
          <w:lang w:eastAsia="en-GB"/>
        </w:rPr>
      </w:pPr>
      <w:r w:rsidRPr="00695919">
        <w:rPr>
          <w:rFonts w:ascii="Times New Arabic" w:eastAsia="PMingLiU" w:hAnsi="Times New Arabic" w:cs="Times New Roman"/>
          <w:szCs w:val="24"/>
          <w:lang w:eastAsia="en-GB"/>
        </w:rPr>
        <w:t>Menurut an-Naim, prinsip HAM internasional dianggap sebagai prinsip yang benar dan tidak bertentangan dengan prinsip syariah atau prinsip Islam yang sesungguhnya. Oleh karena prinsip HAM internasional berpijak pada keberpihakan terhadap nilai-nilai humanisme sebagaima</w:t>
      </w:r>
      <w:r w:rsidR="00444D63" w:rsidRPr="00695919">
        <w:rPr>
          <w:rFonts w:ascii="Times New Arabic" w:eastAsia="PMingLiU" w:hAnsi="Times New Arabic" w:cs="Times New Roman"/>
          <w:szCs w:val="24"/>
          <w:lang w:eastAsia="en-GB"/>
        </w:rPr>
        <w:t>na Islam ketika diturunkan di Ma</w:t>
      </w:r>
      <w:r w:rsidRPr="00695919">
        <w:rPr>
          <w:rFonts w:ascii="Times New Arabic" w:eastAsia="PMingLiU" w:hAnsi="Times New Arabic" w:cs="Times New Roman"/>
          <w:szCs w:val="24"/>
          <w:lang w:eastAsia="en-GB"/>
        </w:rPr>
        <w:t xml:space="preserve">kkah. Dalam konteks ini, </w:t>
      </w:r>
      <w:r w:rsidRPr="00695919">
        <w:rPr>
          <w:rFonts w:ascii="Times New Arabic" w:hAnsi="Times New Arabic" w:cstheme="majorBidi"/>
          <w:szCs w:val="24"/>
          <w:lang w:val="id-ID"/>
        </w:rPr>
        <w:t>a</w:t>
      </w:r>
      <w:r w:rsidRPr="00695919">
        <w:rPr>
          <w:rFonts w:ascii="Times New Arabic" w:hAnsi="Times New Arabic" w:cstheme="majorBidi"/>
          <w:szCs w:val="24"/>
        </w:rPr>
        <w:t>n-Na’im</w:t>
      </w:r>
      <w:r w:rsidRPr="00695919">
        <w:rPr>
          <w:rFonts w:ascii="Times New Arabic" w:eastAsia="PMingLiU" w:hAnsi="Times New Arabic" w:cs="Times New Roman"/>
          <w:szCs w:val="24"/>
          <w:lang w:eastAsia="en-GB"/>
        </w:rPr>
        <w:t xml:space="preserve"> mengkritik fiqih Islam klasik yang menurutnya bertolak belakang dengan prinsip HAM universal karena hanya selalu berpijak pada ayat-ayat </w:t>
      </w:r>
      <w:r w:rsidRPr="00695919">
        <w:rPr>
          <w:rFonts w:ascii="Times New Arabic" w:eastAsia="PMingLiU" w:hAnsi="Times New Arabic" w:cs="Times New Roman"/>
          <w:i/>
          <w:iCs/>
          <w:szCs w:val="24"/>
          <w:lang w:eastAsia="en-GB"/>
        </w:rPr>
        <w:t>Madaniyah</w:t>
      </w:r>
      <w:r w:rsidRPr="00695919">
        <w:rPr>
          <w:rFonts w:ascii="Times New Arabic" w:eastAsia="PMingLiU" w:hAnsi="Times New Arabic" w:cs="Times New Roman"/>
          <w:szCs w:val="24"/>
          <w:lang w:eastAsia="en-GB"/>
        </w:rPr>
        <w:t xml:space="preserve">. Oleh karenanya, bagi </w:t>
      </w:r>
      <w:r w:rsidRPr="00695919">
        <w:rPr>
          <w:rFonts w:ascii="Times New Arabic" w:hAnsi="Times New Arabic" w:cstheme="majorBidi"/>
          <w:szCs w:val="24"/>
          <w:lang w:val="id-ID"/>
        </w:rPr>
        <w:t>a</w:t>
      </w:r>
      <w:r w:rsidRPr="00695919">
        <w:rPr>
          <w:rFonts w:ascii="Times New Arabic" w:hAnsi="Times New Arabic" w:cstheme="majorBidi"/>
          <w:szCs w:val="24"/>
        </w:rPr>
        <w:t>n-Na’im</w:t>
      </w:r>
      <w:r w:rsidRPr="00695919">
        <w:rPr>
          <w:rFonts w:ascii="Times New Arabic" w:eastAsia="PMingLiU" w:hAnsi="Times New Arabic" w:cs="Times New Roman"/>
          <w:szCs w:val="24"/>
          <w:lang w:eastAsia="en-GB"/>
        </w:rPr>
        <w:t xml:space="preserve">, saat ini hukum Islam yang didasarkan pada ayat-ayat </w:t>
      </w:r>
      <w:r w:rsidRPr="00695919">
        <w:rPr>
          <w:rFonts w:ascii="Times New Arabic" w:eastAsia="PMingLiU" w:hAnsi="Times New Arabic" w:cs="Times New Roman"/>
          <w:i/>
          <w:iCs/>
          <w:szCs w:val="24"/>
          <w:lang w:eastAsia="en-GB"/>
        </w:rPr>
        <w:t>Makkiyah</w:t>
      </w:r>
      <w:r w:rsidRPr="00695919">
        <w:rPr>
          <w:rFonts w:ascii="Times New Arabic" w:eastAsia="PMingLiU" w:hAnsi="Times New Arabic" w:cs="Times New Roman"/>
          <w:szCs w:val="24"/>
          <w:lang w:eastAsia="en-GB"/>
        </w:rPr>
        <w:t xml:space="preserve"> harus terus dibangun dan diperjuangkan, agar hukum Islam itu lebih egaliter dan mengutamakan solidaritas sesama manusia tanpa diskriminasi apa pun.</w:t>
      </w:r>
      <w:r w:rsidRPr="00695919">
        <w:rPr>
          <w:rFonts w:ascii="Times New Arabic" w:eastAsia="PMingLiU" w:hAnsi="Times New Arabic" w:cs="Times New Roman"/>
          <w:szCs w:val="24"/>
          <w:vertAlign w:val="superscript"/>
          <w:lang w:eastAsia="en-GB"/>
        </w:rPr>
        <w:footnoteReference w:id="36"/>
      </w:r>
    </w:p>
    <w:p w:rsidR="001D5DEC" w:rsidRPr="00695919" w:rsidRDefault="001D5DEC" w:rsidP="00E77617">
      <w:pPr>
        <w:spacing w:line="276" w:lineRule="auto"/>
        <w:ind w:firstLine="426"/>
        <w:contextualSpacing/>
        <w:jc w:val="both"/>
        <w:rPr>
          <w:rFonts w:ascii="Times New Arabic" w:eastAsia="PMingLiU" w:hAnsi="Times New Arabic" w:cs="Times New Roman"/>
          <w:szCs w:val="24"/>
          <w:lang w:eastAsia="en-GB"/>
        </w:rPr>
      </w:pPr>
      <w:r w:rsidRPr="00695919">
        <w:rPr>
          <w:rFonts w:ascii="Times New Arabic" w:eastAsia="PMingLiU" w:hAnsi="Times New Arabic" w:cs="Times New Roman"/>
          <w:szCs w:val="24"/>
          <w:lang w:eastAsia="en-GB"/>
        </w:rPr>
        <w:t xml:space="preserve">Dalam pandangan an-Nai’m, ayat-ayat </w:t>
      </w:r>
      <w:r w:rsidRPr="00695919">
        <w:rPr>
          <w:rFonts w:ascii="Times New Arabic" w:eastAsia="PMingLiU" w:hAnsi="Times New Arabic" w:cs="Times New Roman"/>
          <w:i/>
          <w:iCs/>
          <w:szCs w:val="24"/>
          <w:lang w:eastAsia="en-GB"/>
        </w:rPr>
        <w:t>Makiyyah</w:t>
      </w:r>
      <w:r w:rsidRPr="00695919">
        <w:rPr>
          <w:rFonts w:ascii="Times New Arabic" w:eastAsia="PMingLiU" w:hAnsi="Times New Arabic" w:cs="Times New Roman"/>
          <w:szCs w:val="24"/>
          <w:lang w:eastAsia="en-GB"/>
        </w:rPr>
        <w:t xml:space="preserve"> sangat jauh berbeda dengan ayat yang diturunkan di Madinah. Ayat Madinah, bagi </w:t>
      </w:r>
      <w:r w:rsidRPr="00695919">
        <w:rPr>
          <w:rFonts w:ascii="Times New Arabic" w:hAnsi="Times New Arabic" w:cstheme="majorBidi"/>
          <w:szCs w:val="24"/>
          <w:lang w:val="id-ID"/>
        </w:rPr>
        <w:t>a</w:t>
      </w:r>
      <w:r w:rsidRPr="00695919">
        <w:rPr>
          <w:rFonts w:ascii="Times New Arabic" w:hAnsi="Times New Arabic" w:cstheme="majorBidi"/>
          <w:szCs w:val="24"/>
        </w:rPr>
        <w:t>n-Na’im</w:t>
      </w:r>
      <w:r w:rsidRPr="00695919">
        <w:rPr>
          <w:rFonts w:ascii="Times New Arabic" w:eastAsia="PMingLiU" w:hAnsi="Times New Arabic" w:cs="Times New Roman"/>
          <w:szCs w:val="24"/>
          <w:lang w:eastAsia="en-GB"/>
        </w:rPr>
        <w:t xml:space="preserve"> cenderung bersifat partikularistik dan diskriminatis. </w:t>
      </w:r>
      <w:r w:rsidRPr="00695919">
        <w:rPr>
          <w:rFonts w:ascii="Times New Arabic" w:eastAsia="Calibri" w:hAnsi="Times New Arabic" w:cs="Times New Roman"/>
          <w:szCs w:val="24"/>
        </w:rPr>
        <w:t xml:space="preserve"> </w:t>
      </w:r>
      <w:r w:rsidRPr="00695919">
        <w:rPr>
          <w:rFonts w:ascii="Times New Arabic" w:eastAsia="PMingLiU" w:hAnsi="Times New Arabic" w:cs="Times New Roman"/>
          <w:szCs w:val="24"/>
          <w:lang w:eastAsia="en-GB"/>
        </w:rPr>
        <w:t xml:space="preserve">Menurut </w:t>
      </w:r>
      <w:r w:rsidRPr="00695919">
        <w:rPr>
          <w:rFonts w:ascii="Times New Arabic" w:hAnsi="Times New Arabic" w:cstheme="majorBidi"/>
          <w:szCs w:val="24"/>
          <w:lang w:val="id-ID"/>
        </w:rPr>
        <w:t>a</w:t>
      </w:r>
      <w:r w:rsidRPr="00695919">
        <w:rPr>
          <w:rFonts w:ascii="Times New Arabic" w:hAnsi="Times New Arabic" w:cstheme="majorBidi"/>
          <w:szCs w:val="24"/>
        </w:rPr>
        <w:t>n-Na’im</w:t>
      </w:r>
      <w:r w:rsidRPr="00695919">
        <w:rPr>
          <w:rFonts w:ascii="Times New Arabic" w:eastAsia="PMingLiU" w:hAnsi="Times New Arabic" w:cs="Times New Roman"/>
          <w:szCs w:val="24"/>
          <w:lang w:eastAsia="en-GB"/>
        </w:rPr>
        <w:t xml:space="preserve">, ayat-ayat </w:t>
      </w:r>
      <w:r w:rsidRPr="00695919">
        <w:rPr>
          <w:rFonts w:ascii="Times New Arabic" w:eastAsia="PMingLiU" w:hAnsi="Times New Arabic" w:cs="Times New Roman"/>
          <w:i/>
          <w:iCs/>
          <w:szCs w:val="24"/>
          <w:lang w:eastAsia="en-GB"/>
        </w:rPr>
        <w:t>Madaniyah</w:t>
      </w:r>
      <w:r w:rsidRPr="00695919">
        <w:rPr>
          <w:rFonts w:ascii="Times New Arabic" w:eastAsia="PMingLiU" w:hAnsi="Times New Arabic" w:cs="Times New Roman"/>
          <w:szCs w:val="24"/>
          <w:lang w:eastAsia="en-GB"/>
        </w:rPr>
        <w:t xml:space="preserve"> inilah yang menjadi pijakan HAM Islam klasik. Oleh karenanya sudah tentu tidak lagi cocok dengan prinsip HAM modern. Disinilah bagi </w:t>
      </w:r>
      <w:r w:rsidRPr="00695919">
        <w:rPr>
          <w:rFonts w:ascii="Times New Arabic" w:hAnsi="Times New Arabic" w:cstheme="majorBidi"/>
          <w:szCs w:val="24"/>
          <w:lang w:val="id-ID"/>
        </w:rPr>
        <w:t>a</w:t>
      </w:r>
      <w:r w:rsidRPr="00695919">
        <w:rPr>
          <w:rFonts w:ascii="Times New Arabic" w:hAnsi="Times New Arabic" w:cstheme="majorBidi"/>
          <w:szCs w:val="24"/>
        </w:rPr>
        <w:t>n-Na’im</w:t>
      </w:r>
      <w:r w:rsidRPr="00695919">
        <w:rPr>
          <w:rFonts w:ascii="Times New Arabic" w:eastAsia="PMingLiU" w:hAnsi="Times New Arabic" w:cs="Times New Roman"/>
          <w:szCs w:val="24"/>
          <w:lang w:eastAsia="en-GB"/>
        </w:rPr>
        <w:t xml:space="preserve"> pentingnya mengapa fiqih HAM Islam harus dirombak. Karena </w:t>
      </w:r>
      <w:proofErr w:type="gramStart"/>
      <w:r w:rsidRPr="00695919">
        <w:rPr>
          <w:rFonts w:ascii="Times New Arabic" w:eastAsia="PMingLiU" w:hAnsi="Times New Arabic" w:cs="Times New Roman"/>
          <w:szCs w:val="24"/>
          <w:lang w:eastAsia="en-GB"/>
        </w:rPr>
        <w:t>ia</w:t>
      </w:r>
      <w:proofErr w:type="gramEnd"/>
      <w:r w:rsidRPr="00695919">
        <w:rPr>
          <w:rFonts w:ascii="Times New Arabic" w:eastAsia="PMingLiU" w:hAnsi="Times New Arabic" w:cs="Times New Roman"/>
          <w:szCs w:val="24"/>
          <w:lang w:eastAsia="en-GB"/>
        </w:rPr>
        <w:t xml:space="preserve"> sudah tidak sesuai lagi dengan konteks zaman modern sekarang. Untuk itu, memberlakukan HAM Islam model lama justru kontraproduktif, dan cenderung hanya mendatangkan permusuhan saja. Fiqih HAM Islam model baru hanya dapat terwujud bila berpijak pada ayat-ayat </w:t>
      </w:r>
      <w:r w:rsidRPr="00695919">
        <w:rPr>
          <w:rFonts w:ascii="Times New Arabic" w:eastAsia="PMingLiU" w:hAnsi="Times New Arabic" w:cs="Times New Roman"/>
          <w:i/>
          <w:iCs/>
          <w:szCs w:val="24"/>
          <w:lang w:eastAsia="en-GB"/>
        </w:rPr>
        <w:t>Makkiyah</w:t>
      </w:r>
      <w:r w:rsidRPr="00695919">
        <w:rPr>
          <w:rFonts w:ascii="Times New Arabic" w:eastAsia="PMingLiU" w:hAnsi="Times New Arabic" w:cs="Times New Roman"/>
          <w:szCs w:val="24"/>
          <w:lang w:eastAsia="en-GB"/>
        </w:rPr>
        <w:t xml:space="preserve">, bukan ayat-ayat Madaniyyah. Disinilah relevansi gagasan baru terhadap konsep </w:t>
      </w:r>
      <w:r w:rsidRPr="00695919">
        <w:rPr>
          <w:rFonts w:ascii="Times New Arabic" w:eastAsia="PMingLiU" w:hAnsi="Times New Arabic" w:cs="Times New Roman"/>
          <w:i/>
          <w:iCs/>
          <w:szCs w:val="24"/>
          <w:lang w:eastAsia="en-GB"/>
        </w:rPr>
        <w:t>nasakh-mansukh</w:t>
      </w:r>
      <w:r w:rsidRPr="00695919">
        <w:rPr>
          <w:rFonts w:ascii="Times New Arabic" w:eastAsia="PMingLiU" w:hAnsi="Times New Arabic" w:cs="Times New Roman"/>
          <w:szCs w:val="24"/>
          <w:lang w:eastAsia="en-GB"/>
        </w:rPr>
        <w:t xml:space="preserve"> ayat Makiyyah terhadap ayat-ayat </w:t>
      </w:r>
      <w:r w:rsidRPr="00695919">
        <w:rPr>
          <w:rFonts w:ascii="Times New Arabic" w:eastAsia="PMingLiU" w:hAnsi="Times New Arabic" w:cs="Times New Roman"/>
          <w:i/>
          <w:iCs/>
          <w:szCs w:val="24"/>
          <w:lang w:eastAsia="en-GB"/>
        </w:rPr>
        <w:t>Madaniyah</w:t>
      </w:r>
      <w:r w:rsidRPr="00695919">
        <w:rPr>
          <w:rFonts w:ascii="Times New Arabic" w:eastAsia="PMingLiU" w:hAnsi="Times New Arabic" w:cs="Times New Roman"/>
          <w:szCs w:val="24"/>
          <w:lang w:eastAsia="en-GB"/>
        </w:rPr>
        <w:t xml:space="preserve">, sebagaimana yang dilontarkan </w:t>
      </w:r>
      <w:r w:rsidRPr="00695919">
        <w:rPr>
          <w:rFonts w:ascii="Times New Arabic" w:hAnsi="Times New Arabic" w:cstheme="majorBidi"/>
          <w:szCs w:val="24"/>
          <w:lang w:val="id-ID"/>
        </w:rPr>
        <w:t>a</w:t>
      </w:r>
      <w:r w:rsidRPr="00695919">
        <w:rPr>
          <w:rFonts w:ascii="Times New Arabic" w:hAnsi="Times New Arabic" w:cstheme="majorBidi"/>
          <w:szCs w:val="24"/>
        </w:rPr>
        <w:t>n-Na’im</w:t>
      </w:r>
      <w:r w:rsidRPr="00695919">
        <w:rPr>
          <w:rFonts w:ascii="Times New Arabic" w:eastAsia="PMingLiU" w:hAnsi="Times New Arabic" w:cs="Times New Roman"/>
          <w:szCs w:val="24"/>
          <w:lang w:eastAsia="en-GB"/>
        </w:rPr>
        <w:t>.</w:t>
      </w:r>
      <w:r w:rsidR="008F6AFF" w:rsidRPr="00695919">
        <w:rPr>
          <w:rStyle w:val="FootnoteReference"/>
          <w:rFonts w:ascii="Times New Arabic" w:eastAsia="PMingLiU" w:hAnsi="Times New Arabic" w:cs="Times New Roman"/>
          <w:szCs w:val="24"/>
          <w:lang w:eastAsia="en-GB"/>
        </w:rPr>
        <w:footnoteReference w:id="37"/>
      </w:r>
    </w:p>
    <w:p w:rsidR="001D5DEC" w:rsidRPr="00695919" w:rsidRDefault="001D5DEC" w:rsidP="00E77617">
      <w:pPr>
        <w:spacing w:line="276" w:lineRule="auto"/>
        <w:ind w:firstLine="426"/>
        <w:contextualSpacing/>
        <w:jc w:val="both"/>
        <w:rPr>
          <w:rFonts w:ascii="Times New Arabic" w:eastAsia="Calibri" w:hAnsi="Times New Arabic" w:cs="Times New Roman"/>
          <w:szCs w:val="24"/>
        </w:rPr>
      </w:pPr>
      <w:r w:rsidRPr="00695919">
        <w:rPr>
          <w:rFonts w:ascii="Times New Arabic" w:eastAsia="PMingLiU" w:hAnsi="Times New Arabic" w:cs="Times New Roman"/>
          <w:szCs w:val="24"/>
          <w:lang w:eastAsia="en-GB"/>
        </w:rPr>
        <w:t xml:space="preserve">An-Na’im menyatakan bahwa standar konsep HAM yang telah dimiliki negara-negara di Timur termasuk di negara-negara </w:t>
      </w:r>
      <w:proofErr w:type="gramStart"/>
      <w:r w:rsidRPr="00695919">
        <w:rPr>
          <w:rFonts w:ascii="Times New Arabic" w:eastAsia="PMingLiU" w:hAnsi="Times New Arabic" w:cs="Times New Roman"/>
          <w:szCs w:val="24"/>
          <w:lang w:eastAsia="en-GB"/>
        </w:rPr>
        <w:t>muslim</w:t>
      </w:r>
      <w:proofErr w:type="gramEnd"/>
      <w:r w:rsidRPr="00695919">
        <w:rPr>
          <w:rFonts w:ascii="Times New Arabic" w:eastAsia="PMingLiU" w:hAnsi="Times New Arabic" w:cs="Times New Roman"/>
          <w:szCs w:val="24"/>
          <w:lang w:eastAsia="en-GB"/>
        </w:rPr>
        <w:t xml:space="preserve">, harus diselaraskan dengan konsep </w:t>
      </w:r>
      <w:r w:rsidRPr="00695919">
        <w:rPr>
          <w:rFonts w:ascii="Times New Arabic" w:eastAsia="PMingLiU" w:hAnsi="Times New Arabic" w:cs="Times New Roman"/>
          <w:szCs w:val="24"/>
          <w:lang w:eastAsia="en-GB"/>
        </w:rPr>
        <w:lastRenderedPageBreak/>
        <w:t>HAM internasional.</w:t>
      </w:r>
      <w:r w:rsidRPr="00695919">
        <w:rPr>
          <w:rFonts w:ascii="Times New Arabic" w:eastAsia="PMingLiU" w:hAnsi="Times New Arabic" w:cs="Times New Roman"/>
          <w:szCs w:val="24"/>
          <w:vertAlign w:val="superscript"/>
          <w:lang w:eastAsia="en-GB"/>
        </w:rPr>
        <w:footnoteReference w:id="38"/>
      </w:r>
      <w:r w:rsidRPr="00695919">
        <w:rPr>
          <w:rFonts w:ascii="Times New Arabic" w:eastAsia="PMingLiU" w:hAnsi="Times New Arabic" w:cs="Times New Roman"/>
          <w:szCs w:val="24"/>
          <w:lang w:eastAsia="en-GB"/>
        </w:rPr>
        <w:t xml:space="preserve"> Sebab menurutnya, ada satu prinsip normatif umum yang dimiliki oleh semua tradisi dan budaya, yang mampu menopang standar universal HAM. Prinsip universal itu adalah seseorang harus memperlakukan orang lain </w:t>
      </w:r>
      <w:proofErr w:type="gramStart"/>
      <w:r w:rsidRPr="00695919">
        <w:rPr>
          <w:rFonts w:ascii="Times New Arabic" w:eastAsia="PMingLiU" w:hAnsi="Times New Arabic" w:cs="Times New Roman"/>
          <w:szCs w:val="24"/>
          <w:lang w:eastAsia="en-GB"/>
        </w:rPr>
        <w:t>sama</w:t>
      </w:r>
      <w:proofErr w:type="gramEnd"/>
      <w:r w:rsidRPr="00695919">
        <w:rPr>
          <w:rFonts w:ascii="Times New Arabic" w:eastAsia="PMingLiU" w:hAnsi="Times New Arabic" w:cs="Times New Roman"/>
          <w:szCs w:val="24"/>
          <w:lang w:eastAsia="en-GB"/>
        </w:rPr>
        <w:t xml:space="preserve"> seperti orang tersebut mengharap perlakuan dari orang lain. Regulasi dan aturan ini menganut serta mengacu pada prinsip </w:t>
      </w:r>
      <w:r w:rsidRPr="00695919">
        <w:rPr>
          <w:rFonts w:ascii="Times New Arabic" w:eastAsia="PMingLiU" w:hAnsi="Times New Arabic" w:cs="Times New Roman"/>
          <w:i/>
          <w:szCs w:val="24"/>
          <w:lang w:eastAsia="en-GB"/>
        </w:rPr>
        <w:t>reciprocity</w:t>
      </w:r>
      <w:r w:rsidRPr="00695919">
        <w:rPr>
          <w:rFonts w:ascii="Times New Arabic" w:eastAsia="PMingLiU" w:hAnsi="Times New Arabic" w:cs="Times New Roman"/>
          <w:szCs w:val="24"/>
          <w:lang w:eastAsia="en-GB"/>
        </w:rPr>
        <w:t xml:space="preserve"> (resiprositas) yang dianut oleh semua agama besar di dunia. Pada </w:t>
      </w:r>
      <w:proofErr w:type="gramStart"/>
      <w:r w:rsidRPr="00695919">
        <w:rPr>
          <w:rFonts w:ascii="Times New Arabic" w:eastAsia="PMingLiU" w:hAnsi="Times New Arabic" w:cs="Times New Roman"/>
          <w:szCs w:val="24"/>
          <w:lang w:eastAsia="en-GB"/>
        </w:rPr>
        <w:t>aras</w:t>
      </w:r>
      <w:proofErr w:type="gramEnd"/>
      <w:r w:rsidRPr="00695919">
        <w:rPr>
          <w:rFonts w:ascii="Times New Arabic" w:eastAsia="PMingLiU" w:hAnsi="Times New Arabic" w:cs="Times New Roman"/>
          <w:szCs w:val="24"/>
          <w:lang w:eastAsia="en-GB"/>
        </w:rPr>
        <w:t xml:space="preserve"> lain, kekuatan moral dari proposisi HAM internasional yang sederhana dapat dengan mudah ditangkap pesannya bahkan diapresiasi oleh semua umat manusia baik secara kultural maupun secara filosofis.</w:t>
      </w:r>
      <w:r w:rsidRPr="00695919">
        <w:rPr>
          <w:rFonts w:ascii="Times New Arabic" w:eastAsia="PMingLiU" w:hAnsi="Times New Arabic" w:cs="Times New Roman"/>
          <w:szCs w:val="24"/>
          <w:vertAlign w:val="superscript"/>
          <w:lang w:eastAsia="en-GB"/>
        </w:rPr>
        <w:footnoteReference w:id="39"/>
      </w:r>
    </w:p>
    <w:p w:rsidR="001D5DEC" w:rsidRPr="00695919" w:rsidRDefault="001D5DEC" w:rsidP="00E77617">
      <w:pPr>
        <w:spacing w:line="276" w:lineRule="auto"/>
        <w:ind w:firstLine="426"/>
        <w:contextualSpacing/>
        <w:jc w:val="both"/>
        <w:rPr>
          <w:rFonts w:ascii="Times New Arabic" w:eastAsia="Calibri" w:hAnsi="Times New Arabic" w:cs="Times New Roman"/>
          <w:szCs w:val="24"/>
        </w:rPr>
      </w:pPr>
      <w:r w:rsidRPr="00695919">
        <w:rPr>
          <w:rFonts w:ascii="Times New Arabic" w:eastAsia="PMingLiU" w:hAnsi="Times New Arabic" w:cs="Times New Roman"/>
          <w:szCs w:val="24"/>
          <w:lang w:eastAsia="en-GB"/>
        </w:rPr>
        <w:t xml:space="preserve">Dalam pandangan </w:t>
      </w:r>
      <w:r w:rsidRPr="00695919">
        <w:rPr>
          <w:rFonts w:ascii="Times New Arabic" w:hAnsi="Times New Arabic" w:cstheme="majorBidi"/>
          <w:szCs w:val="24"/>
          <w:lang w:val="id-ID"/>
        </w:rPr>
        <w:t>a</w:t>
      </w:r>
      <w:r w:rsidRPr="00695919">
        <w:rPr>
          <w:rFonts w:ascii="Times New Arabic" w:hAnsi="Times New Arabic" w:cstheme="majorBidi"/>
          <w:szCs w:val="24"/>
        </w:rPr>
        <w:t>n-Na’im</w:t>
      </w:r>
      <w:r w:rsidRPr="00695919">
        <w:rPr>
          <w:rFonts w:ascii="Times New Arabic" w:eastAsia="PMingLiU" w:hAnsi="Times New Arabic" w:cs="Times New Roman"/>
          <w:szCs w:val="24"/>
          <w:lang w:eastAsia="en-GB"/>
        </w:rPr>
        <w:t xml:space="preserve">, upaya penerapan prinsip </w:t>
      </w:r>
      <w:r w:rsidRPr="00695919">
        <w:rPr>
          <w:rFonts w:ascii="Times New Arabic" w:eastAsia="PMingLiU" w:hAnsi="Times New Arabic" w:cs="Times New Roman"/>
          <w:i/>
          <w:szCs w:val="24"/>
          <w:lang w:eastAsia="en-GB"/>
        </w:rPr>
        <w:t>reciprocity</w:t>
      </w:r>
      <w:r w:rsidRPr="00695919">
        <w:rPr>
          <w:rFonts w:ascii="Times New Arabic" w:eastAsia="PMingLiU" w:hAnsi="Times New Arabic" w:cs="Times New Roman"/>
          <w:szCs w:val="24"/>
          <w:lang w:eastAsia="en-GB"/>
        </w:rPr>
        <w:t xml:space="preserve"> (reprositas) harus dipahami sebagai prinsip yang saling menguntungkan antara satu manusia dengan manusia yang lain. Antara satu manusia dengan manusia yang lain dengan varian jenis kelamin, agama bahkan ras, </w:t>
      </w:r>
      <w:proofErr w:type="gramStart"/>
      <w:r w:rsidRPr="00695919">
        <w:rPr>
          <w:rFonts w:ascii="Times New Arabic" w:eastAsia="PMingLiU" w:hAnsi="Times New Arabic" w:cs="Times New Roman"/>
          <w:szCs w:val="24"/>
          <w:lang w:eastAsia="en-GB"/>
        </w:rPr>
        <w:t>harus</w:t>
      </w:r>
      <w:proofErr w:type="gramEnd"/>
      <w:r w:rsidRPr="00695919">
        <w:rPr>
          <w:rFonts w:ascii="Times New Arabic" w:eastAsia="PMingLiU" w:hAnsi="Times New Arabic" w:cs="Times New Roman"/>
          <w:szCs w:val="24"/>
          <w:lang w:eastAsia="en-GB"/>
        </w:rPr>
        <w:t xml:space="preserve"> mendapatkan haknya sebagai manusia dengan setara atau </w:t>
      </w:r>
      <w:r w:rsidRPr="00695919">
        <w:rPr>
          <w:rFonts w:ascii="Times New Arabic" w:eastAsia="PMingLiU" w:hAnsi="Times New Arabic" w:cs="Times New Roman"/>
          <w:i/>
          <w:szCs w:val="24"/>
          <w:lang w:eastAsia="en-GB"/>
        </w:rPr>
        <w:t>equal</w:t>
      </w:r>
      <w:r w:rsidRPr="00695919">
        <w:rPr>
          <w:rFonts w:ascii="Times New Arabic" w:eastAsia="PMingLiU" w:hAnsi="Times New Arabic" w:cs="Times New Roman"/>
          <w:szCs w:val="24"/>
          <w:lang w:eastAsia="en-GB"/>
        </w:rPr>
        <w:t xml:space="preserve">. Eksistensi HAM internasional mencoba mendekonstruksi diskriminasi kaum pria terhadap kaum perempuan dan diskriminasi dari agama satu terhadap agama lain. Akan tetapi ironisnya, menurut </w:t>
      </w:r>
      <w:r w:rsidRPr="00695919">
        <w:rPr>
          <w:rFonts w:ascii="Times New Arabic" w:hAnsi="Times New Arabic" w:cstheme="majorBidi"/>
          <w:szCs w:val="24"/>
          <w:lang w:val="id-ID"/>
        </w:rPr>
        <w:t>a</w:t>
      </w:r>
      <w:r w:rsidRPr="00695919">
        <w:rPr>
          <w:rFonts w:ascii="Times New Arabic" w:hAnsi="Times New Arabic" w:cstheme="majorBidi"/>
          <w:szCs w:val="24"/>
        </w:rPr>
        <w:t>n-Na’im</w:t>
      </w:r>
      <w:r w:rsidRPr="00695919">
        <w:rPr>
          <w:rFonts w:ascii="Times New Arabic" w:eastAsia="PMingLiU" w:hAnsi="Times New Arabic" w:cs="Times New Roman"/>
          <w:szCs w:val="24"/>
          <w:lang w:eastAsia="en-GB"/>
        </w:rPr>
        <w:t xml:space="preserve"> banyak ayat dan hadis yang dipahami memiliki kecenderungan menempatkan perempuan pada posisi yang lebih rendah ketimbang laki-laki. Bahkan, syariah atau hukum Islam juga seringkali membangun tembok diskriminatif antara </w:t>
      </w:r>
      <w:proofErr w:type="gramStart"/>
      <w:r w:rsidRPr="00695919">
        <w:rPr>
          <w:rFonts w:ascii="Times New Arabic" w:eastAsia="PMingLiU" w:hAnsi="Times New Arabic" w:cs="Times New Roman"/>
          <w:szCs w:val="24"/>
          <w:lang w:eastAsia="en-GB"/>
        </w:rPr>
        <w:t>muslim</w:t>
      </w:r>
      <w:proofErr w:type="gramEnd"/>
      <w:r w:rsidRPr="00695919">
        <w:rPr>
          <w:rFonts w:ascii="Times New Arabic" w:eastAsia="PMingLiU" w:hAnsi="Times New Arabic" w:cs="Times New Roman"/>
          <w:szCs w:val="24"/>
          <w:lang w:eastAsia="en-GB"/>
        </w:rPr>
        <w:t xml:space="preserve"> dan non-muslim.</w:t>
      </w:r>
      <w:r w:rsidRPr="00695919">
        <w:rPr>
          <w:rFonts w:ascii="Times New Arabic" w:eastAsia="PMingLiU" w:hAnsi="Times New Arabic" w:cs="Times New Roman"/>
          <w:szCs w:val="24"/>
          <w:vertAlign w:val="superscript"/>
          <w:lang w:eastAsia="en-GB"/>
        </w:rPr>
        <w:footnoteReference w:id="40"/>
      </w:r>
      <w:r w:rsidRPr="00695919">
        <w:rPr>
          <w:rFonts w:ascii="Times New Arabic" w:eastAsia="PMingLiU" w:hAnsi="Times New Arabic" w:cs="Times New Roman"/>
          <w:szCs w:val="24"/>
          <w:lang w:eastAsia="en-GB"/>
        </w:rPr>
        <w:t xml:space="preserve"> </w:t>
      </w:r>
    </w:p>
    <w:p w:rsidR="001D5DEC" w:rsidRPr="00695919" w:rsidRDefault="001D5DEC" w:rsidP="00E77617">
      <w:pPr>
        <w:spacing w:line="276" w:lineRule="auto"/>
        <w:ind w:firstLine="426"/>
        <w:contextualSpacing/>
        <w:jc w:val="both"/>
        <w:rPr>
          <w:rFonts w:ascii="Times New Arabic" w:eastAsia="Calibri" w:hAnsi="Times New Arabic" w:cs="Times New Roman"/>
          <w:szCs w:val="24"/>
        </w:rPr>
      </w:pPr>
      <w:r w:rsidRPr="00695919">
        <w:rPr>
          <w:rFonts w:ascii="Times New Arabic" w:eastAsia="PMingLiU" w:hAnsi="Times New Arabic" w:cs="Times New Roman"/>
          <w:szCs w:val="24"/>
          <w:lang w:eastAsia="en-GB"/>
        </w:rPr>
        <w:t xml:space="preserve">Pada esensinya, </w:t>
      </w:r>
      <w:r w:rsidRPr="00695919">
        <w:rPr>
          <w:rFonts w:ascii="Times New Arabic" w:hAnsi="Times New Arabic" w:cstheme="majorBidi"/>
          <w:szCs w:val="24"/>
          <w:lang w:val="id-ID"/>
        </w:rPr>
        <w:t>a</w:t>
      </w:r>
      <w:r w:rsidRPr="00695919">
        <w:rPr>
          <w:rFonts w:ascii="Times New Arabic" w:hAnsi="Times New Arabic" w:cstheme="majorBidi"/>
          <w:szCs w:val="24"/>
        </w:rPr>
        <w:t>n-Na’im</w:t>
      </w:r>
      <w:r w:rsidRPr="00695919">
        <w:rPr>
          <w:rFonts w:ascii="Times New Arabic" w:eastAsia="PMingLiU" w:hAnsi="Times New Arabic" w:cs="Times New Roman"/>
          <w:szCs w:val="24"/>
          <w:lang w:eastAsia="en-GB"/>
        </w:rPr>
        <w:t xml:space="preserve"> berpendapat bahwa hak-hak asasi manusia didasarkan pada dua kekuatan utama yang memotivasi seluruh tingkah laku manusia, yaitu kehendak untuk hidup dan bebas. Melalui kehendak untuk hidup, manusia selalu berusaha dengan keras guna memenuhi kebutuhan sandang, pangan, papan, kesehatan, dan </w:t>
      </w:r>
      <w:proofErr w:type="gramStart"/>
      <w:r w:rsidRPr="00695919">
        <w:rPr>
          <w:rFonts w:ascii="Times New Arabic" w:eastAsia="PMingLiU" w:hAnsi="Times New Arabic" w:cs="Times New Roman"/>
          <w:szCs w:val="24"/>
          <w:lang w:eastAsia="en-GB"/>
        </w:rPr>
        <w:t>apa</w:t>
      </w:r>
      <w:proofErr w:type="gramEnd"/>
      <w:r w:rsidRPr="00695919">
        <w:rPr>
          <w:rFonts w:ascii="Times New Arabic" w:eastAsia="PMingLiU" w:hAnsi="Times New Arabic" w:cs="Times New Roman"/>
          <w:szCs w:val="24"/>
          <w:lang w:eastAsia="en-GB"/>
        </w:rPr>
        <w:t xml:space="preserve"> saja yang berkaitan dengan kebutuhan hidup manusia. Pada </w:t>
      </w:r>
      <w:proofErr w:type="gramStart"/>
      <w:r w:rsidRPr="00695919">
        <w:rPr>
          <w:rFonts w:ascii="Times New Arabic" w:eastAsia="PMingLiU" w:hAnsi="Times New Arabic" w:cs="Times New Roman"/>
          <w:szCs w:val="24"/>
          <w:lang w:eastAsia="en-GB"/>
        </w:rPr>
        <w:t>aras</w:t>
      </w:r>
      <w:proofErr w:type="gramEnd"/>
      <w:r w:rsidRPr="00695919">
        <w:rPr>
          <w:rFonts w:ascii="Times New Arabic" w:eastAsia="PMingLiU" w:hAnsi="Times New Arabic" w:cs="Times New Roman"/>
          <w:szCs w:val="24"/>
          <w:lang w:eastAsia="en-GB"/>
        </w:rPr>
        <w:t xml:space="preserve"> lain manusia juga senantiasa berusaha untuk meningkatkan kualitas hidup yang lebih baik, melalui pembangunan dan penggunaan sumber daya yang ada, serta melalui perjuangan politik untuk mencapai distribusi kesejahteraan dan kekuasaan secara adil dan jujur di antara anggota-anggota komunitas tertentu.</w:t>
      </w:r>
      <w:r w:rsidRPr="00695919">
        <w:rPr>
          <w:rFonts w:ascii="Times New Arabic" w:eastAsia="PMingLiU" w:hAnsi="Times New Arabic" w:cs="Times New Roman"/>
          <w:szCs w:val="24"/>
          <w:vertAlign w:val="superscript"/>
          <w:lang w:eastAsia="en-GB"/>
        </w:rPr>
        <w:footnoteReference w:id="41"/>
      </w:r>
    </w:p>
    <w:p w:rsidR="001D5DEC" w:rsidRPr="00695919" w:rsidRDefault="001D5DEC" w:rsidP="00E77617">
      <w:pPr>
        <w:spacing w:line="276" w:lineRule="auto"/>
        <w:ind w:firstLine="426"/>
        <w:contextualSpacing/>
        <w:jc w:val="both"/>
        <w:rPr>
          <w:rFonts w:ascii="Times New Arabic" w:eastAsia="Calibri" w:hAnsi="Times New Arabic" w:cs="Times New Roman"/>
          <w:szCs w:val="24"/>
        </w:rPr>
      </w:pPr>
      <w:r w:rsidRPr="00695919">
        <w:rPr>
          <w:rFonts w:ascii="Times New Arabic" w:eastAsia="PMingLiU" w:hAnsi="Times New Arabic" w:cs="Times New Roman"/>
          <w:szCs w:val="24"/>
          <w:lang w:eastAsia="en-GB"/>
        </w:rPr>
        <w:t xml:space="preserve">Dalam kondisi tertentu acap kali antara hak untuk bebas dan hak untuk hidup terjadi tumpang tindih. Oleh karena </w:t>
      </w:r>
      <w:proofErr w:type="gramStart"/>
      <w:r w:rsidRPr="00695919">
        <w:rPr>
          <w:rFonts w:ascii="Times New Arabic" w:eastAsia="PMingLiU" w:hAnsi="Times New Arabic" w:cs="Times New Roman"/>
          <w:szCs w:val="24"/>
          <w:lang w:eastAsia="en-GB"/>
        </w:rPr>
        <w:t>ia</w:t>
      </w:r>
      <w:proofErr w:type="gramEnd"/>
      <w:r w:rsidRPr="00695919">
        <w:rPr>
          <w:rFonts w:ascii="Times New Arabic" w:eastAsia="PMingLiU" w:hAnsi="Times New Arabic" w:cs="Times New Roman"/>
          <w:szCs w:val="24"/>
          <w:lang w:eastAsia="en-GB"/>
        </w:rPr>
        <w:t xml:space="preserve"> merupakan kehendak bebas untuk terhindar dari keterbatasan fisik dan jaminan sandang pangan. Pada level yang lain kehendak untuk bebas lebih utama ketimbang hak untuk hidup, karena </w:t>
      </w:r>
      <w:proofErr w:type="gramStart"/>
      <w:r w:rsidRPr="00695919">
        <w:rPr>
          <w:rFonts w:ascii="Times New Arabic" w:eastAsia="PMingLiU" w:hAnsi="Times New Arabic" w:cs="Times New Roman"/>
          <w:szCs w:val="24"/>
          <w:lang w:eastAsia="en-GB"/>
        </w:rPr>
        <w:t>ia</w:t>
      </w:r>
      <w:proofErr w:type="gramEnd"/>
      <w:r w:rsidRPr="00695919">
        <w:rPr>
          <w:rFonts w:ascii="Times New Arabic" w:eastAsia="PMingLiU" w:hAnsi="Times New Arabic" w:cs="Times New Roman"/>
          <w:szCs w:val="24"/>
          <w:lang w:eastAsia="en-GB"/>
        </w:rPr>
        <w:t xml:space="preserve"> merupakan spirit dan </w:t>
      </w:r>
      <w:r w:rsidRPr="00695919">
        <w:rPr>
          <w:rFonts w:ascii="Times New Arabic" w:eastAsia="PMingLiU" w:hAnsi="Times New Arabic" w:cs="Times New Roman"/>
          <w:szCs w:val="24"/>
          <w:lang w:eastAsia="en-GB"/>
        </w:rPr>
        <w:lastRenderedPageBreak/>
        <w:t>kekuaan yang menjadi penggerak untuk mendapatkan kesejahtraan dan kemuliaan, spritual, moral, dan seni.</w:t>
      </w:r>
      <w:r w:rsidRPr="00695919">
        <w:rPr>
          <w:rFonts w:ascii="Times New Arabic" w:eastAsia="PMingLiU" w:hAnsi="Times New Arabic" w:cs="Times New Roman"/>
          <w:szCs w:val="24"/>
          <w:vertAlign w:val="superscript"/>
          <w:lang w:eastAsia="en-GB"/>
        </w:rPr>
        <w:footnoteReference w:id="42"/>
      </w:r>
      <w:r w:rsidRPr="00695919">
        <w:rPr>
          <w:rFonts w:ascii="Times New Arabic" w:eastAsia="PMingLiU" w:hAnsi="Times New Arabic" w:cs="Times New Roman"/>
          <w:szCs w:val="24"/>
          <w:lang w:eastAsia="en-GB"/>
        </w:rPr>
        <w:t xml:space="preserve"> Untuk mendapatkan dua kekuatan tesebut, lanjut </w:t>
      </w:r>
      <w:r w:rsidRPr="00695919">
        <w:rPr>
          <w:rFonts w:ascii="Times New Arabic" w:eastAsia="PMingLiU" w:hAnsi="Times New Arabic" w:cs="Times New Roman"/>
          <w:szCs w:val="24"/>
          <w:lang w:val="id-ID" w:eastAsia="en-GB"/>
        </w:rPr>
        <w:t>a</w:t>
      </w:r>
      <w:r w:rsidRPr="00695919">
        <w:rPr>
          <w:rFonts w:ascii="Times New Arabic" w:eastAsia="PMingLiU" w:hAnsi="Times New Arabic" w:cs="Times New Roman"/>
          <w:szCs w:val="24"/>
          <w:lang w:eastAsia="en-GB"/>
        </w:rPr>
        <w:t xml:space="preserve">n-Na’im, telah dijamin oleh setiap tradisi dan budaya yang sudah berkembang selama ini. Budaya dan tradisi tersebut sangatlah relevan dengan prinsip resiprositas. Sehingga kondisi inilah yang menurut </w:t>
      </w:r>
      <w:r w:rsidRPr="00695919">
        <w:rPr>
          <w:rFonts w:ascii="Times New Arabic" w:hAnsi="Times New Arabic" w:cstheme="majorBidi"/>
          <w:szCs w:val="24"/>
          <w:lang w:val="id-ID"/>
        </w:rPr>
        <w:t>a</w:t>
      </w:r>
      <w:r w:rsidRPr="00695919">
        <w:rPr>
          <w:rFonts w:ascii="Times New Arabic" w:hAnsi="Times New Arabic" w:cstheme="majorBidi"/>
          <w:szCs w:val="24"/>
        </w:rPr>
        <w:t>n-Na’im</w:t>
      </w:r>
      <w:r w:rsidRPr="00695919">
        <w:rPr>
          <w:rFonts w:ascii="Times New Arabic" w:eastAsia="PMingLiU" w:hAnsi="Times New Arabic" w:cs="Times New Roman"/>
          <w:szCs w:val="24"/>
          <w:lang w:eastAsia="en-GB"/>
        </w:rPr>
        <w:t xml:space="preserve"> dianggap sebagai dasar universalitas hak asasi manusia Internasional ketimbang hak asasi manusia yang ditawarkan oleh Timur atau Islam yang bersifat partikular.</w:t>
      </w:r>
      <w:r w:rsidRPr="00695919">
        <w:rPr>
          <w:rFonts w:ascii="Times New Arabic" w:eastAsia="PMingLiU" w:hAnsi="Times New Arabic" w:cs="Times New Roman"/>
          <w:szCs w:val="24"/>
          <w:vertAlign w:val="superscript"/>
          <w:lang w:eastAsia="en-GB"/>
        </w:rPr>
        <w:footnoteReference w:id="43"/>
      </w:r>
      <w:r w:rsidRPr="00695919">
        <w:rPr>
          <w:rFonts w:ascii="Times New Arabic" w:eastAsia="PMingLiU" w:hAnsi="Times New Arabic" w:cs="Times New Roman"/>
          <w:szCs w:val="24"/>
          <w:lang w:eastAsia="en-GB"/>
        </w:rPr>
        <w:t xml:space="preserve">       </w:t>
      </w:r>
    </w:p>
    <w:p w:rsidR="001D5DEC" w:rsidRPr="00695919" w:rsidRDefault="001D5DEC" w:rsidP="00E77617">
      <w:pPr>
        <w:spacing w:line="276" w:lineRule="auto"/>
        <w:ind w:firstLine="426"/>
        <w:contextualSpacing/>
        <w:jc w:val="both"/>
        <w:rPr>
          <w:rFonts w:ascii="Times New Arabic" w:eastAsia="SimSun" w:hAnsi="Times New Arabic" w:cs="Times New Roman"/>
          <w:szCs w:val="24"/>
        </w:rPr>
      </w:pPr>
      <w:r w:rsidRPr="00695919">
        <w:rPr>
          <w:rFonts w:ascii="Times New Arabic" w:eastAsia="SimSun" w:hAnsi="Times New Arabic" w:cs="Times New Roman"/>
          <w:szCs w:val="24"/>
        </w:rPr>
        <w:t xml:space="preserve">Tujuan utama HAM menurut </w:t>
      </w:r>
      <w:r w:rsidRPr="00695919">
        <w:rPr>
          <w:rFonts w:ascii="Times New Arabic" w:hAnsi="Times New Arabic" w:cstheme="majorBidi"/>
          <w:szCs w:val="24"/>
          <w:lang w:val="id-ID"/>
        </w:rPr>
        <w:t>a</w:t>
      </w:r>
      <w:r w:rsidRPr="00695919">
        <w:rPr>
          <w:rFonts w:ascii="Times New Arabic" w:hAnsi="Times New Arabic" w:cstheme="majorBidi"/>
          <w:szCs w:val="24"/>
        </w:rPr>
        <w:t>n-Na’im</w:t>
      </w:r>
      <w:r w:rsidRPr="00695919">
        <w:rPr>
          <w:rFonts w:ascii="Times New Arabic" w:eastAsia="SimSun" w:hAnsi="Times New Arabic" w:cs="Times New Roman"/>
          <w:szCs w:val="24"/>
        </w:rPr>
        <w:t xml:space="preserve"> adalah untuk meyakinkan perlindungan yang efektif terhadap beberapa hal yang merupakan hak semua manusia di mana pun mereka berada. Termasuk di negara yang tidak menjamin keberadaan hak itu dalam </w:t>
      </w:r>
      <w:r w:rsidRPr="00695919">
        <w:rPr>
          <w:rFonts w:ascii="Times New Arabic" w:eastAsia="SimSun" w:hAnsi="Times New Arabic" w:cs="Times New Roman"/>
          <w:szCs w:val="24"/>
          <w:lang w:val="id-ID"/>
        </w:rPr>
        <w:t>undang-undang</w:t>
      </w:r>
      <w:r w:rsidRPr="00695919">
        <w:rPr>
          <w:rFonts w:ascii="Times New Arabic" w:eastAsia="SimSun" w:hAnsi="Times New Arabic" w:cs="Times New Roman"/>
          <w:szCs w:val="24"/>
        </w:rPr>
        <w:t xml:space="preserve"> dasar mereka. Ini tidak berarti bahwa deklarasi HAM berbeda atau lebih tinggi kedudukannya dari pada hak-hak yang terdapat dalam </w:t>
      </w:r>
      <w:r w:rsidRPr="00695919">
        <w:rPr>
          <w:rFonts w:ascii="Times New Arabic" w:eastAsia="SimSun" w:hAnsi="Times New Arabic" w:cs="Times New Roman"/>
          <w:szCs w:val="24"/>
          <w:lang w:val="id-ID"/>
        </w:rPr>
        <w:t>undang-undang</w:t>
      </w:r>
      <w:r w:rsidRPr="00695919">
        <w:rPr>
          <w:rFonts w:ascii="Times New Arabic" w:eastAsia="SimSun" w:hAnsi="Times New Arabic" w:cs="Times New Roman"/>
          <w:szCs w:val="24"/>
        </w:rPr>
        <w:t xml:space="preserve"> dasar. Malah, </w:t>
      </w:r>
      <w:r w:rsidR="008F6AFF" w:rsidRPr="00695919">
        <w:rPr>
          <w:rFonts w:ascii="Times New Arabic" w:eastAsia="SimSun" w:hAnsi="Times New Arabic" w:cs="Times New Roman"/>
          <w:szCs w:val="24"/>
        </w:rPr>
        <w:t>penghormatan dan perlindungan HAM</w:t>
      </w:r>
      <w:r w:rsidRPr="00695919">
        <w:rPr>
          <w:rFonts w:ascii="Times New Arabic" w:eastAsia="SimSun" w:hAnsi="Times New Arabic" w:cs="Times New Roman"/>
          <w:szCs w:val="24"/>
        </w:rPr>
        <w:t xml:space="preserve"> yang terdapat dalam Deklarasi Universal HAM dilakukan melalui pencantumannya dalam </w:t>
      </w:r>
      <w:r w:rsidRPr="00695919">
        <w:rPr>
          <w:rFonts w:ascii="Times New Arabic" w:eastAsia="SimSun" w:hAnsi="Times New Arabic" w:cs="Times New Roman"/>
          <w:szCs w:val="24"/>
          <w:lang w:val="id-ID"/>
        </w:rPr>
        <w:t>undang-undang</w:t>
      </w:r>
      <w:r w:rsidRPr="00695919">
        <w:rPr>
          <w:rFonts w:ascii="Times New Arabic" w:eastAsia="SimSun" w:hAnsi="Times New Arabic" w:cs="Times New Roman"/>
          <w:szCs w:val="24"/>
        </w:rPr>
        <w:t xml:space="preserve"> dasar, anggaran dasar, dan anggaran rumah tangga lembaga negara.</w:t>
      </w:r>
      <w:r w:rsidRPr="00695919">
        <w:rPr>
          <w:rFonts w:ascii="Times New Arabic" w:eastAsia="SimSun" w:hAnsi="Times New Arabic" w:cs="Times New Roman"/>
          <w:szCs w:val="24"/>
          <w:vertAlign w:val="superscript"/>
        </w:rPr>
        <w:footnoteReference w:id="44"/>
      </w:r>
      <w:r w:rsidRPr="00695919">
        <w:rPr>
          <w:rFonts w:ascii="Times New Arabic" w:eastAsia="SimSun" w:hAnsi="Times New Arabic" w:cs="Times New Roman"/>
          <w:szCs w:val="24"/>
        </w:rPr>
        <w:t>Tujuan gagasan deklarasi HAM adalah untuk melindungi hak-hak asasi manusia dari ketidakjelasan proses-proses politik dan administratif.</w:t>
      </w:r>
    </w:p>
    <w:p w:rsidR="002A1EA6" w:rsidRPr="00695919" w:rsidRDefault="001D5DEC" w:rsidP="00E77617">
      <w:pPr>
        <w:spacing w:line="276" w:lineRule="auto"/>
        <w:ind w:firstLine="426"/>
        <w:contextualSpacing/>
        <w:jc w:val="both"/>
        <w:rPr>
          <w:rFonts w:ascii="Times New Arabic" w:eastAsia="SimSun" w:hAnsi="Times New Arabic" w:cs="Times New Roman"/>
          <w:szCs w:val="24"/>
        </w:rPr>
      </w:pPr>
      <w:r w:rsidRPr="00695919">
        <w:rPr>
          <w:rFonts w:ascii="Times New Arabic" w:eastAsia="SimSun" w:hAnsi="Times New Arabic" w:cs="Times New Roman"/>
          <w:szCs w:val="24"/>
        </w:rPr>
        <w:t xml:space="preserve">Bagi </w:t>
      </w:r>
      <w:r w:rsidRPr="00695919">
        <w:rPr>
          <w:rFonts w:ascii="Times New Arabic" w:hAnsi="Times New Arabic" w:cstheme="majorBidi"/>
          <w:szCs w:val="24"/>
          <w:lang w:val="id-ID"/>
        </w:rPr>
        <w:t>a</w:t>
      </w:r>
      <w:r w:rsidRPr="00695919">
        <w:rPr>
          <w:rFonts w:ascii="Times New Arabic" w:hAnsi="Times New Arabic" w:cstheme="majorBidi"/>
          <w:szCs w:val="24"/>
        </w:rPr>
        <w:t>n-Na’im</w:t>
      </w:r>
      <w:r w:rsidRPr="00695919">
        <w:rPr>
          <w:rFonts w:ascii="Times New Arabic" w:eastAsia="SimSun" w:hAnsi="Times New Arabic" w:cs="Times New Roman"/>
          <w:szCs w:val="24"/>
        </w:rPr>
        <w:t xml:space="preserve">, pengakuan DUHAM sebagai </w:t>
      </w:r>
      <w:proofErr w:type="gramStart"/>
      <w:r w:rsidRPr="00695919">
        <w:rPr>
          <w:rFonts w:ascii="Times New Arabic" w:eastAsia="SimSun" w:hAnsi="Times New Arabic" w:cs="Times New Roman"/>
          <w:szCs w:val="24"/>
        </w:rPr>
        <w:t>norma</w:t>
      </w:r>
      <w:proofErr w:type="gramEnd"/>
      <w:r w:rsidRPr="00695919">
        <w:rPr>
          <w:rFonts w:ascii="Times New Arabic" w:eastAsia="SimSun" w:hAnsi="Times New Arabic" w:cs="Times New Roman"/>
          <w:szCs w:val="24"/>
        </w:rPr>
        <w:t xml:space="preserve"> hak asasi manusia universal merupakan hasil proses konsensus global</w:t>
      </w:r>
      <w:r w:rsidRPr="00695919">
        <w:rPr>
          <w:rFonts w:ascii="Times New Arabic" w:eastAsia="SimSun" w:hAnsi="Times New Arabic" w:cs="Times New Roman"/>
          <w:szCs w:val="24"/>
          <w:vertAlign w:val="superscript"/>
        </w:rPr>
        <w:footnoteReference w:id="45"/>
      </w:r>
      <w:r w:rsidRPr="00695919">
        <w:rPr>
          <w:rFonts w:ascii="Times New Arabic" w:eastAsia="SimSun" w:hAnsi="Times New Arabic" w:cs="Times New Roman"/>
          <w:szCs w:val="24"/>
        </w:rPr>
        <w:t xml:space="preserve">. Oleh karena setiap masyarakat berpegang pada sistem normatif yang membentuk konteks dan pengalamannya. Sebuah konsep universal tidak bisa begitu saja diproklamasikan dan ditetapkan </w:t>
      </w:r>
      <w:proofErr w:type="gramStart"/>
      <w:r w:rsidRPr="00695919">
        <w:rPr>
          <w:rFonts w:ascii="Times New Arabic" w:eastAsia="SimSun" w:hAnsi="Times New Arabic" w:cs="Times New Roman"/>
          <w:szCs w:val="24"/>
        </w:rPr>
        <w:t>sama</w:t>
      </w:r>
      <w:proofErr w:type="gramEnd"/>
      <w:r w:rsidRPr="00695919">
        <w:rPr>
          <w:rFonts w:ascii="Times New Arabic" w:eastAsia="SimSun" w:hAnsi="Times New Arabic" w:cs="Times New Roman"/>
          <w:szCs w:val="24"/>
        </w:rPr>
        <w:t xml:space="preserve"> rata. Dengan kata lain manusia, baik laki-laki ataupun perempuan, kaya ataupun miskin, beragam maupun tidak, </w:t>
      </w:r>
      <w:proofErr w:type="gramStart"/>
      <w:r w:rsidRPr="00695919">
        <w:rPr>
          <w:rFonts w:ascii="Times New Arabic" w:eastAsia="SimSun" w:hAnsi="Times New Arabic" w:cs="Times New Roman"/>
          <w:szCs w:val="24"/>
        </w:rPr>
        <w:t>sama</w:t>
      </w:r>
      <w:proofErr w:type="gramEnd"/>
      <w:r w:rsidRPr="00695919">
        <w:rPr>
          <w:rFonts w:ascii="Times New Arabic" w:eastAsia="SimSun" w:hAnsi="Times New Arabic" w:cs="Times New Roman"/>
          <w:szCs w:val="24"/>
        </w:rPr>
        <w:t xml:space="preserve">-sama mengetahui dan menjalani kehidupan di dunia sebagai dirinya sendiri. Di mana pun berada, kesadaran, nilai, dan perilaku sebagai manusia dibentuk oleh tradisi agama dan </w:t>
      </w:r>
      <w:proofErr w:type="gramStart"/>
      <w:r w:rsidRPr="00695919">
        <w:rPr>
          <w:rFonts w:ascii="Times New Arabic" w:eastAsia="SimSun" w:hAnsi="Times New Arabic" w:cs="Times New Roman"/>
          <w:szCs w:val="24"/>
        </w:rPr>
        <w:t>kultur</w:t>
      </w:r>
      <w:proofErr w:type="gramEnd"/>
      <w:r w:rsidRPr="00695919">
        <w:rPr>
          <w:rFonts w:ascii="Times New Arabic" w:eastAsia="SimSun" w:hAnsi="Times New Arabic" w:cs="Times New Roman"/>
          <w:szCs w:val="24"/>
        </w:rPr>
        <w:t xml:space="preserve"> (budaya).</w:t>
      </w:r>
    </w:p>
    <w:p w:rsidR="00D118B2" w:rsidRPr="00695919" w:rsidRDefault="00D118B2" w:rsidP="00E77617">
      <w:pPr>
        <w:spacing w:line="276" w:lineRule="auto"/>
        <w:ind w:firstLine="426"/>
        <w:contextualSpacing/>
        <w:jc w:val="both"/>
        <w:rPr>
          <w:rFonts w:ascii="Times New Arabic" w:eastAsia="SimSun" w:hAnsi="Times New Arabic" w:cs="Times New Roman"/>
          <w:szCs w:val="24"/>
        </w:rPr>
      </w:pPr>
    </w:p>
    <w:p w:rsidR="004D77C0" w:rsidRPr="00695919" w:rsidRDefault="00D118B2" w:rsidP="00E77617">
      <w:pPr>
        <w:spacing w:line="276" w:lineRule="auto"/>
        <w:jc w:val="both"/>
        <w:rPr>
          <w:rFonts w:ascii="Times New Arabic" w:hAnsi="Times New Arabic" w:cstheme="majorBidi"/>
          <w:b/>
          <w:bCs/>
          <w:color w:val="000000" w:themeColor="text1"/>
          <w:szCs w:val="24"/>
        </w:rPr>
      </w:pPr>
      <w:r w:rsidRPr="00695919">
        <w:rPr>
          <w:rFonts w:ascii="Times New Arabic" w:hAnsi="Times New Arabic" w:cstheme="majorBidi"/>
          <w:b/>
          <w:bCs/>
          <w:color w:val="000000" w:themeColor="text1"/>
          <w:szCs w:val="24"/>
        </w:rPr>
        <w:t xml:space="preserve">BENTUK PERLINDUNGAN HUKUM BAGI PEKERJA PKWT DALAM UNDNG-UNDANG CIPTA KERJA </w:t>
      </w:r>
    </w:p>
    <w:p w:rsidR="00BA4B94" w:rsidRPr="00695919" w:rsidRDefault="00BA4B94" w:rsidP="00E77617">
      <w:pPr>
        <w:spacing w:line="276" w:lineRule="auto"/>
        <w:ind w:firstLine="644"/>
        <w:jc w:val="both"/>
        <w:rPr>
          <w:rFonts w:ascii="Times New Arabic" w:hAnsi="Times New Arabic" w:cstheme="majorBidi"/>
          <w:szCs w:val="24"/>
        </w:rPr>
      </w:pPr>
      <w:r w:rsidRPr="00695919">
        <w:rPr>
          <w:rFonts w:ascii="Times New Arabic" w:hAnsi="Times New Arabic" w:cstheme="majorBidi"/>
          <w:szCs w:val="24"/>
        </w:rPr>
        <w:t xml:space="preserve">Perlindungan hukum terhadap pekerja diberikan manakala dilakukannya perjanjian kerja sehingga timbul adanya hubungan kerja. Pasal 50 Undang-Undang Ketenagakerjaan menyebutkan bahwa hubungan kerja terjadi karena adanya perjanjian kerja antara pengusaha dan pekerja/buruh. Hubungan kerja tersebut menjadi </w:t>
      </w:r>
      <w:r w:rsidRPr="00695919">
        <w:rPr>
          <w:rFonts w:ascii="Times New Arabic" w:hAnsi="Times New Arabic" w:cstheme="majorBidi"/>
          <w:szCs w:val="24"/>
        </w:rPr>
        <w:lastRenderedPageBreak/>
        <w:t>dasar para pihak mendapatkan perlindungan hukum termasuk pekerja. Terkhusus bagi pekerja, perlindungan ini dimaksudkan agar tidak terjadi perlakuan yang sewenang-wenang dari pengusaha mengingat kedudukan pekerja rawan sebagai pihak yang lemah.</w:t>
      </w:r>
      <w:r w:rsidRPr="00695919">
        <w:rPr>
          <w:rStyle w:val="FootnoteReference"/>
          <w:rFonts w:ascii="Times New Arabic" w:hAnsi="Times New Arabic" w:cstheme="majorBidi"/>
          <w:szCs w:val="24"/>
        </w:rPr>
        <w:footnoteReference w:id="46"/>
      </w:r>
      <w:r w:rsidRPr="00695919">
        <w:rPr>
          <w:rFonts w:ascii="Times New Arabic" w:hAnsi="Times New Arabic" w:cstheme="majorBidi"/>
          <w:szCs w:val="24"/>
        </w:rPr>
        <w:t xml:space="preserve"> Kepastian hukum terhadap hubungan kerja dalam suatu peruasahaan memiliki pengaruh besar terhadap pekerja. Hal ini tentunya didasarkan bahwa manusia membutuhkan kejelasan terutama atas pemenuhan hidup, khusunya bagi keluarganya. Di sisi lain, adanya status hubungan kerja juga dapat memberikan kesempatan bagi pekerja untuk merancang kehidupan yang baik dan layak di masa mendatang.</w:t>
      </w:r>
      <w:r w:rsidRPr="00695919">
        <w:rPr>
          <w:rStyle w:val="FootnoteReference"/>
          <w:rFonts w:ascii="Times New Arabic" w:hAnsi="Times New Arabic" w:cstheme="majorBidi"/>
          <w:szCs w:val="24"/>
        </w:rPr>
        <w:footnoteReference w:id="47"/>
      </w:r>
      <w:r w:rsidRPr="00695919">
        <w:rPr>
          <w:rFonts w:ascii="Times New Arabic" w:hAnsi="Times New Arabic" w:cstheme="majorBidi"/>
          <w:szCs w:val="24"/>
        </w:rPr>
        <w:t xml:space="preserve"> </w:t>
      </w:r>
    </w:p>
    <w:p w:rsidR="001D5DEC" w:rsidRPr="00695919" w:rsidRDefault="000F3058" w:rsidP="00E77617">
      <w:pPr>
        <w:spacing w:line="276" w:lineRule="auto"/>
        <w:ind w:firstLine="644"/>
        <w:jc w:val="both"/>
        <w:rPr>
          <w:rFonts w:ascii="Times New Arabic" w:hAnsi="Times New Arabic" w:cs="Times New Roman"/>
          <w:color w:val="000000" w:themeColor="text1"/>
          <w:szCs w:val="24"/>
        </w:rPr>
      </w:pPr>
      <w:r w:rsidRPr="00695919">
        <w:rPr>
          <w:rFonts w:ascii="Times New Arabic" w:hAnsi="Times New Arabic" w:cs="Times New Roman"/>
          <w:color w:val="000000" w:themeColor="text1"/>
          <w:szCs w:val="24"/>
        </w:rPr>
        <w:t>Diundangkannya</w:t>
      </w:r>
      <w:r w:rsidRPr="00695919">
        <w:rPr>
          <w:rFonts w:ascii="Times New Arabic" w:hAnsi="Times New Arabic" w:cs="Times New Roman"/>
          <w:color w:val="000000" w:themeColor="text1"/>
          <w:szCs w:val="24"/>
          <w:lang w:val="id-ID"/>
        </w:rPr>
        <w:t xml:space="preserve"> </w:t>
      </w:r>
      <w:r w:rsidRPr="00695919">
        <w:rPr>
          <w:rFonts w:ascii="Times New Arabic" w:hAnsi="Times New Arabic" w:cs="Times New Roman"/>
          <w:color w:val="000000" w:themeColor="text1"/>
          <w:szCs w:val="24"/>
        </w:rPr>
        <w:t>Undang-Undang Cipta Kerja</w:t>
      </w:r>
      <w:r w:rsidRPr="00695919">
        <w:rPr>
          <w:rFonts w:ascii="Times New Arabic" w:hAnsi="Times New Arabic" w:cs="Times New Roman"/>
          <w:color w:val="000000" w:themeColor="text1"/>
          <w:szCs w:val="24"/>
          <w:lang w:val="id-ID"/>
        </w:rPr>
        <w:t xml:space="preserve"> </w:t>
      </w:r>
      <w:r w:rsidRPr="00695919">
        <w:rPr>
          <w:rFonts w:ascii="Times New Arabic" w:hAnsi="Times New Arabic" w:cs="Times New Roman"/>
          <w:color w:val="000000" w:themeColor="text1"/>
          <w:szCs w:val="24"/>
        </w:rPr>
        <w:t>pada klaster ketenagakerjaan</w:t>
      </w:r>
      <w:r w:rsidRPr="00695919">
        <w:rPr>
          <w:rFonts w:ascii="Times New Arabic" w:hAnsi="Times New Arabic" w:cs="Times New Roman"/>
          <w:color w:val="000000" w:themeColor="text1"/>
          <w:szCs w:val="24"/>
          <w:lang w:val="id-ID"/>
        </w:rPr>
        <w:t xml:space="preserve"> </w:t>
      </w:r>
      <w:r w:rsidRPr="00695919">
        <w:rPr>
          <w:rFonts w:ascii="Times New Arabic" w:hAnsi="Times New Arabic" w:cs="Times New Roman"/>
          <w:color w:val="000000" w:themeColor="text1"/>
          <w:szCs w:val="24"/>
        </w:rPr>
        <w:t>memang memberikan dampak yang cukup siginfikan bagi pekerja, khusunya pekerja PKWT. Beberapa perubahan dalam Undang-Undang Cipta Kerja</w:t>
      </w:r>
      <w:r w:rsidRPr="00695919">
        <w:rPr>
          <w:rFonts w:ascii="Times New Arabic" w:hAnsi="Times New Arabic" w:cs="Times New Roman"/>
          <w:color w:val="000000" w:themeColor="text1"/>
          <w:szCs w:val="24"/>
          <w:lang w:val="id-ID"/>
        </w:rPr>
        <w:t xml:space="preserve"> yang diatur lebih lanjut dalam Peraturan Pemerintah Nomor 35 Tahun 2021 </w:t>
      </w:r>
      <w:r w:rsidRPr="00695919">
        <w:rPr>
          <w:rFonts w:ascii="Times New Arabic" w:hAnsi="Times New Arabic" w:cs="Times New Roman"/>
          <w:color w:val="000000" w:themeColor="text1"/>
          <w:szCs w:val="24"/>
        </w:rPr>
        <w:t xml:space="preserve">diantaranya yaitu, masa kerja atau jangka waktu, penambahan jenis pekerjaan, perpanjangan perjanjian kerja, akibat hukum perjanjian tidak tertulis, dan penambahan uang kompensasi. </w:t>
      </w:r>
      <w:r w:rsidR="008F6AFF" w:rsidRPr="00695919">
        <w:rPr>
          <w:rFonts w:ascii="Times New Arabic" w:hAnsi="Times New Arabic" w:cs="Times New Roman"/>
          <w:color w:val="000000" w:themeColor="text1"/>
          <w:szCs w:val="24"/>
        </w:rPr>
        <w:t xml:space="preserve">Terkhsus dalam tulisan ini, hanya berfokus pada 2 (dua) ketentuan yang cenderung meninmbulkan polemik. </w:t>
      </w:r>
      <w:r w:rsidR="001D5DEC" w:rsidRPr="00695919">
        <w:rPr>
          <w:rFonts w:ascii="Times New Arabic" w:hAnsi="Times New Arabic" w:cs="Times New Roman"/>
          <w:szCs w:val="24"/>
        </w:rPr>
        <w:t>Ketentuan-ketentuan tersebut yaitu ketentuan mengenai batas waktu PKWT yang didasarkan atas selesainya suatu perkajaan tertentu dan pengapusan akibat hukum PKWT yang dibuat secara tidak tertulis.</w:t>
      </w:r>
    </w:p>
    <w:p w:rsidR="001D5DEC" w:rsidRPr="00695919" w:rsidRDefault="001D5DEC" w:rsidP="00E77617">
      <w:pPr>
        <w:pStyle w:val="ListParagraph"/>
        <w:numPr>
          <w:ilvl w:val="0"/>
          <w:numId w:val="5"/>
        </w:numPr>
        <w:spacing w:line="276" w:lineRule="auto"/>
        <w:ind w:left="284" w:hanging="284"/>
        <w:jc w:val="both"/>
        <w:rPr>
          <w:rFonts w:ascii="Times New Arabic" w:hAnsi="Times New Arabic" w:cs="Times New Roman"/>
          <w:b/>
          <w:bCs/>
          <w:sz w:val="24"/>
          <w:szCs w:val="24"/>
        </w:rPr>
      </w:pPr>
      <w:r w:rsidRPr="00695919">
        <w:rPr>
          <w:rFonts w:ascii="Times New Arabic" w:hAnsi="Times New Arabic" w:cs="Times New Roman"/>
          <w:b/>
          <w:bCs/>
          <w:sz w:val="24"/>
          <w:szCs w:val="24"/>
        </w:rPr>
        <w:t xml:space="preserve">Ketentuan PKWT berdasarkan selesainya suatu pekerjaan tertentu </w:t>
      </w:r>
    </w:p>
    <w:p w:rsidR="00D118B2" w:rsidRPr="00695919" w:rsidRDefault="001D5DEC" w:rsidP="00E77617">
      <w:pPr>
        <w:spacing w:line="276" w:lineRule="auto"/>
        <w:ind w:left="284" w:firstLine="720"/>
        <w:jc w:val="both"/>
        <w:rPr>
          <w:rFonts w:ascii="Times New Arabic" w:hAnsi="Times New Arabic" w:cs="Times New Roman"/>
          <w:szCs w:val="24"/>
        </w:rPr>
      </w:pPr>
      <w:r w:rsidRPr="00695919">
        <w:rPr>
          <w:rFonts w:ascii="Times New Arabic" w:hAnsi="Times New Arabic" w:cs="Times New Roman"/>
          <w:szCs w:val="24"/>
        </w:rPr>
        <w:t xml:space="preserve"> Ketentuan Undang-Undang Cipta Kerja Pasal 81 Ayat (12) sebagaimana mengubah ketentuan Pasal 56 </w:t>
      </w:r>
      <w:r w:rsidRPr="00695919">
        <w:rPr>
          <w:rFonts w:ascii="Times New Arabic" w:hAnsi="Times New Arabic" w:cstheme="majorBidi"/>
          <w:szCs w:val="24"/>
        </w:rPr>
        <w:t>U</w:t>
      </w:r>
      <w:r w:rsidRPr="00695919">
        <w:rPr>
          <w:rFonts w:ascii="Times New Arabic" w:hAnsi="Times New Arabic" w:cstheme="majorBidi"/>
          <w:szCs w:val="24"/>
          <w:lang w:val="id-ID"/>
        </w:rPr>
        <w:t>ndang-Undang</w:t>
      </w:r>
      <w:r w:rsidRPr="00695919">
        <w:rPr>
          <w:rFonts w:ascii="Times New Arabic" w:hAnsi="Times New Arabic" w:cs="Times New Roman"/>
          <w:szCs w:val="24"/>
        </w:rPr>
        <w:t xml:space="preserve"> Ketenagakerjaan dengan penambahan 2 (dua) ayat yang memberikan kelonggaran kepada pengusaha dan pekerja untuk membuat ketentuan berdasarkan kesepakatan keduanya di dalam perjanjian kerja. Adapun ketentuan lebih lanjut di dalam </w:t>
      </w:r>
      <w:r w:rsidRPr="00695919">
        <w:rPr>
          <w:rFonts w:ascii="Times New Arabic" w:hAnsi="Times New Arabic" w:cs="Times New Roman"/>
          <w:color w:val="000000" w:themeColor="text1"/>
          <w:szCs w:val="24"/>
          <w:lang w:val="id-ID"/>
        </w:rPr>
        <w:t>Peraturan Pemerintah</w:t>
      </w:r>
      <w:r w:rsidRPr="00695919">
        <w:rPr>
          <w:rFonts w:ascii="Times New Arabic" w:hAnsi="Times New Arabic" w:cs="Times New Roman"/>
          <w:szCs w:val="24"/>
        </w:rPr>
        <w:t xml:space="preserve"> </w:t>
      </w:r>
      <w:r w:rsidRPr="00695919">
        <w:rPr>
          <w:rFonts w:ascii="Times New Arabic" w:eastAsia="Calibri" w:hAnsi="Times New Arabic" w:cs="Times New Roman"/>
          <w:szCs w:val="24"/>
          <w:lang w:val="id-ID"/>
        </w:rPr>
        <w:t>Nomor</w:t>
      </w:r>
      <w:r w:rsidRPr="00695919">
        <w:rPr>
          <w:rFonts w:ascii="Times New Arabic" w:hAnsi="Times New Arabic" w:cs="Times New Roman"/>
          <w:szCs w:val="24"/>
        </w:rPr>
        <w:t xml:space="preserve"> 35 tahun 2021 jenis perjanjian kerja waktu tertentu berdasarkan selesainya suatu pekerjaan tertentu tidak mengatur batasan waktu secara spesifik. Sebab dalam </w:t>
      </w:r>
      <w:r w:rsidRPr="00695919">
        <w:rPr>
          <w:rFonts w:ascii="Times New Arabic" w:hAnsi="Times New Arabic" w:cs="Times New Roman"/>
          <w:color w:val="000000" w:themeColor="text1"/>
          <w:szCs w:val="24"/>
          <w:lang w:val="id-ID"/>
        </w:rPr>
        <w:t>Peraturan Pemerintah</w:t>
      </w:r>
      <w:r w:rsidRPr="00695919">
        <w:rPr>
          <w:rFonts w:ascii="Times New Arabic" w:hAnsi="Times New Arabic" w:cs="Times New Roman"/>
          <w:szCs w:val="24"/>
        </w:rPr>
        <w:t xml:space="preserve"> </w:t>
      </w:r>
      <w:r w:rsidRPr="00695919">
        <w:rPr>
          <w:rFonts w:ascii="Times New Arabic" w:eastAsia="Calibri" w:hAnsi="Times New Arabic" w:cs="Times New Roman"/>
          <w:szCs w:val="24"/>
          <w:lang w:val="id-ID"/>
        </w:rPr>
        <w:t>Nomor</w:t>
      </w:r>
      <w:r w:rsidRPr="00695919">
        <w:rPr>
          <w:rFonts w:ascii="Times New Arabic" w:hAnsi="Times New Arabic" w:cs="Times New Roman"/>
          <w:szCs w:val="24"/>
        </w:rPr>
        <w:t xml:space="preserve"> 35 tahun 2021 hanya mengatur bahwa PKWT berdasarkan selesainya suatu pekerjaan tertentu dapat diatur di dalam perjanjian </w:t>
      </w:r>
      <w:r w:rsidRPr="00695919">
        <w:rPr>
          <w:rFonts w:ascii="Times New Arabic" w:hAnsi="Times New Arabic" w:cs="Times New Roman"/>
          <w:szCs w:val="24"/>
        </w:rPr>
        <w:lastRenderedPageBreak/>
        <w:t xml:space="preserve">kerja atas dasar kesepakatan kedua belah pihak yaitu pengusaha dan pekerja yang disesuaikan lamanya waktu pekerjaan tersebut selesai. </w:t>
      </w:r>
    </w:p>
    <w:p w:rsidR="00D118B2" w:rsidRPr="00695919" w:rsidRDefault="001D5DEC" w:rsidP="00E77617">
      <w:pPr>
        <w:spacing w:line="276" w:lineRule="auto"/>
        <w:ind w:left="284" w:firstLine="720"/>
        <w:jc w:val="both"/>
        <w:rPr>
          <w:rFonts w:ascii="Times New Arabic" w:hAnsi="Times New Arabic" w:cs="Times New Roman"/>
          <w:szCs w:val="24"/>
        </w:rPr>
      </w:pPr>
      <w:r w:rsidRPr="00695919">
        <w:rPr>
          <w:rFonts w:ascii="Times New Arabic" w:hAnsi="Times New Arabic" w:cs="Times New Roman"/>
          <w:szCs w:val="24"/>
        </w:rPr>
        <w:t xml:space="preserve">Kelonggaran </w:t>
      </w:r>
      <w:r w:rsidRPr="00695919">
        <w:rPr>
          <w:rFonts w:ascii="Times New Arabic" w:hAnsi="Times New Arabic" w:cs="Times New Roman"/>
          <w:color w:val="000000" w:themeColor="text1"/>
          <w:szCs w:val="24"/>
          <w:lang w:val="id-ID"/>
        </w:rPr>
        <w:t>Peraturan Pemerintah</w:t>
      </w:r>
      <w:r w:rsidRPr="00695919">
        <w:rPr>
          <w:rFonts w:ascii="Times New Arabic" w:hAnsi="Times New Arabic" w:cs="Times New Roman"/>
          <w:szCs w:val="24"/>
        </w:rPr>
        <w:t xml:space="preserve"> </w:t>
      </w:r>
      <w:r w:rsidRPr="00695919">
        <w:rPr>
          <w:rFonts w:ascii="Times New Arabic" w:eastAsia="Calibri" w:hAnsi="Times New Arabic" w:cs="Times New Roman"/>
          <w:szCs w:val="24"/>
          <w:lang w:val="id-ID"/>
        </w:rPr>
        <w:t>Nomor</w:t>
      </w:r>
      <w:r w:rsidRPr="00695919">
        <w:rPr>
          <w:rFonts w:ascii="Times New Arabic" w:hAnsi="Times New Arabic" w:cs="Times New Roman"/>
          <w:szCs w:val="24"/>
        </w:rPr>
        <w:t xml:space="preserve"> 35 tahun 2021 ini dapat memberikan kesempatan yang besar bagi pengusaha yang memiliki proyek yang memakan waktu lama atau bertahun-tahun dengan mempekerjakan pekerja melalui ketentuan jenis perjanjian PKWT. Terlebih, PKWT berdasarkan </w:t>
      </w:r>
      <w:r w:rsidRPr="00695919">
        <w:rPr>
          <w:rFonts w:ascii="Times New Arabic" w:hAnsi="Times New Arabic" w:cs="Times New Roman"/>
          <w:szCs w:val="24"/>
          <w:lang w:val="id-ID"/>
        </w:rPr>
        <w:t xml:space="preserve"> </w:t>
      </w:r>
      <w:r w:rsidRPr="00695919">
        <w:rPr>
          <w:rFonts w:ascii="Times New Arabic" w:hAnsi="Times New Arabic" w:cs="Times New Roman"/>
          <w:szCs w:val="24"/>
        </w:rPr>
        <w:t xml:space="preserve">selesainya pekerjaan tertentu berdasarkan ketentuan </w:t>
      </w:r>
      <w:r w:rsidRPr="00695919">
        <w:rPr>
          <w:rFonts w:ascii="Times New Arabic" w:hAnsi="Times New Arabic" w:cs="Times New Roman"/>
          <w:color w:val="000000" w:themeColor="text1"/>
          <w:szCs w:val="24"/>
          <w:lang w:val="id-ID"/>
        </w:rPr>
        <w:t>Peraturan Pemerintah</w:t>
      </w:r>
      <w:r w:rsidRPr="00695919">
        <w:rPr>
          <w:rFonts w:ascii="Times New Arabic" w:hAnsi="Times New Arabic" w:cs="Times New Roman"/>
          <w:szCs w:val="24"/>
        </w:rPr>
        <w:t xml:space="preserve"> </w:t>
      </w:r>
      <w:r w:rsidRPr="00695919">
        <w:rPr>
          <w:rFonts w:ascii="Times New Arabic" w:eastAsia="Calibri" w:hAnsi="Times New Arabic" w:cs="Times New Roman"/>
          <w:szCs w:val="24"/>
          <w:lang w:val="id-ID"/>
        </w:rPr>
        <w:t>Nomor</w:t>
      </w:r>
      <w:r w:rsidRPr="00695919">
        <w:rPr>
          <w:rFonts w:ascii="Times New Arabic" w:hAnsi="Times New Arabic" w:cs="Times New Roman"/>
          <w:szCs w:val="24"/>
        </w:rPr>
        <w:t xml:space="preserve"> 35 </w:t>
      </w:r>
      <w:r w:rsidRPr="00695919">
        <w:rPr>
          <w:rFonts w:ascii="Times New Arabic" w:hAnsi="Times New Arabic" w:cs="Times New Roman"/>
          <w:szCs w:val="24"/>
          <w:lang w:val="id-ID"/>
        </w:rPr>
        <w:t>T</w:t>
      </w:r>
      <w:r w:rsidRPr="00695919">
        <w:rPr>
          <w:rFonts w:ascii="Times New Arabic" w:hAnsi="Times New Arabic" w:cs="Times New Roman"/>
          <w:szCs w:val="24"/>
        </w:rPr>
        <w:t>ahun 2021 dapat dimungkinkan diperpanjang dengan batasan waktu yang tidak ditentukan secara spesifik juga, karena hanya berpacu pada selesainya suatu pekerjaan tertentu. Dengan kata lain, ketentuan ini justru semakin tidak memberikan kepastian hukum mengenai lamanya waktu jenis PKWT berdasarkan selesainya suatu pekerjaan tertentu.</w:t>
      </w:r>
    </w:p>
    <w:p w:rsidR="001D5DEC" w:rsidRPr="00695919" w:rsidRDefault="001D5DEC" w:rsidP="00E77617">
      <w:pPr>
        <w:spacing w:line="276" w:lineRule="auto"/>
        <w:ind w:left="284" w:firstLine="720"/>
        <w:jc w:val="both"/>
        <w:rPr>
          <w:rFonts w:ascii="Times New Arabic" w:hAnsi="Times New Arabic" w:cs="Times New Roman"/>
          <w:szCs w:val="24"/>
        </w:rPr>
      </w:pPr>
      <w:r w:rsidRPr="00695919">
        <w:rPr>
          <w:rFonts w:ascii="Times New Arabic" w:hAnsi="Times New Arabic" w:cs="Times New Roman"/>
          <w:szCs w:val="24"/>
        </w:rPr>
        <w:t>Sistem PKWT berdasarkan selesainya suatu pekerjaan tertentu yang tidak memberikan batasan maksimal perjanjian memberikan kesempatan besar terhadap pengusaha dengan alasan efisiensi, sebab hubungan kerja dengan sistem PKWT pengusaha tidak memiliki kewajiban untuk memberikan berbagai tunjangan seperti tunjangan pelatihan. Selain itu pengusaha juga hanya dibebankan upah pokok beserta uang kompensasi saja. Keresahan lain yang timbul apabila PKWT berdasarkan selesainya suatu pekerjaan tertntu adalah tidak ada kepastian bagi pekerja untuk peralihan status perjanjian kerja dengan ikatan perjanjian kerja waktu tidak tertentu. Selain itu, bagi pengusaha hal ini tentunya lebih menguntungkan.</w:t>
      </w:r>
      <w:r w:rsidRPr="00695919">
        <w:rPr>
          <w:rStyle w:val="FootnoteReference"/>
          <w:rFonts w:ascii="Times New Arabic" w:hAnsi="Times New Arabic" w:cs="Times New Roman"/>
          <w:szCs w:val="24"/>
        </w:rPr>
        <w:footnoteReference w:id="48"/>
      </w:r>
    </w:p>
    <w:p w:rsidR="001D5DEC" w:rsidRPr="00695919" w:rsidRDefault="001D5DEC" w:rsidP="00E77617">
      <w:pPr>
        <w:pStyle w:val="ListParagraph"/>
        <w:numPr>
          <w:ilvl w:val="0"/>
          <w:numId w:val="5"/>
        </w:numPr>
        <w:spacing w:line="276" w:lineRule="auto"/>
        <w:ind w:left="284" w:hanging="284"/>
        <w:jc w:val="both"/>
        <w:rPr>
          <w:rFonts w:ascii="Times New Arabic" w:hAnsi="Times New Arabic" w:cs="Times New Roman"/>
          <w:b/>
          <w:bCs/>
          <w:sz w:val="24"/>
          <w:szCs w:val="24"/>
        </w:rPr>
      </w:pPr>
      <w:r w:rsidRPr="00695919">
        <w:rPr>
          <w:rFonts w:ascii="Times New Arabic" w:hAnsi="Times New Arabic" w:cs="Times New Roman"/>
          <w:b/>
          <w:bCs/>
          <w:sz w:val="24"/>
          <w:szCs w:val="24"/>
        </w:rPr>
        <w:t>Penghapusan konsekuensi hukum apabila PKWT dibuat secara tidak tertulis</w:t>
      </w:r>
    </w:p>
    <w:p w:rsidR="001D5DEC" w:rsidRPr="00695919" w:rsidRDefault="001D5DEC" w:rsidP="00E77617">
      <w:pPr>
        <w:spacing w:line="276" w:lineRule="auto"/>
        <w:ind w:left="284" w:firstLine="720"/>
        <w:jc w:val="both"/>
        <w:rPr>
          <w:rFonts w:ascii="Times New Arabic" w:hAnsi="Times New Arabic" w:cs="Times New Roman"/>
          <w:szCs w:val="24"/>
        </w:rPr>
      </w:pPr>
      <w:r w:rsidRPr="00695919">
        <w:rPr>
          <w:rFonts w:ascii="Times New Arabic" w:hAnsi="Times New Arabic" w:cs="Times New Roman"/>
          <w:szCs w:val="24"/>
        </w:rPr>
        <w:t xml:space="preserve">Perubahan ketentuan PKWT yang saat ini diatur di dalam Undang-Undang Cipta Kerja juga merubah ketentuan Pasal 57 </w:t>
      </w:r>
      <w:r w:rsidRPr="00695919">
        <w:rPr>
          <w:rFonts w:ascii="Times New Arabic" w:hAnsi="Times New Arabic" w:cstheme="majorBidi"/>
          <w:szCs w:val="24"/>
        </w:rPr>
        <w:t>U</w:t>
      </w:r>
      <w:r w:rsidRPr="00695919">
        <w:rPr>
          <w:rFonts w:ascii="Times New Arabic" w:hAnsi="Times New Arabic" w:cstheme="majorBidi"/>
          <w:szCs w:val="24"/>
          <w:lang w:val="id-ID"/>
        </w:rPr>
        <w:t>ndang-Undang</w:t>
      </w:r>
      <w:r w:rsidRPr="00695919">
        <w:rPr>
          <w:rFonts w:ascii="Times New Arabic" w:hAnsi="Times New Arabic" w:cs="Times New Roman"/>
          <w:szCs w:val="24"/>
        </w:rPr>
        <w:t xml:space="preserve"> Ketenagakerjaan. Sebelumnya, pada Pasal 57 Ayat (2) </w:t>
      </w:r>
      <w:r w:rsidRPr="00695919">
        <w:rPr>
          <w:rFonts w:ascii="Times New Arabic" w:hAnsi="Times New Arabic" w:cstheme="majorBidi"/>
          <w:szCs w:val="24"/>
        </w:rPr>
        <w:t>U</w:t>
      </w:r>
      <w:r w:rsidRPr="00695919">
        <w:rPr>
          <w:rFonts w:ascii="Times New Arabic" w:hAnsi="Times New Arabic" w:cstheme="majorBidi"/>
          <w:szCs w:val="24"/>
          <w:lang w:val="id-ID"/>
        </w:rPr>
        <w:t>ndang-Undang</w:t>
      </w:r>
      <w:r w:rsidRPr="00695919">
        <w:rPr>
          <w:rFonts w:ascii="Times New Arabic" w:hAnsi="Times New Arabic" w:cs="Times New Roman"/>
          <w:szCs w:val="24"/>
        </w:rPr>
        <w:t xml:space="preserve"> Ketenagakerjaan</w:t>
      </w:r>
      <w:r w:rsidRPr="00695919">
        <w:rPr>
          <w:rFonts w:ascii="Times New Arabic" w:hAnsi="Times New Arabic" w:cs="Times New Roman"/>
          <w:szCs w:val="24"/>
          <w:lang w:val="id-ID"/>
        </w:rPr>
        <w:t xml:space="preserve"> </w:t>
      </w:r>
      <w:r w:rsidRPr="00695919">
        <w:rPr>
          <w:rFonts w:ascii="Times New Arabic" w:hAnsi="Times New Arabic" w:cs="Times New Roman"/>
          <w:szCs w:val="24"/>
        </w:rPr>
        <w:t xml:space="preserve"> mengatur bahwa PKWT yang dibuat secara tidak tertulis secara hukum menjadi PKWTT. Ayat (2) tersebut dalam Undang-Undang Cipta Kerja</w:t>
      </w:r>
      <w:r w:rsidRPr="00695919">
        <w:rPr>
          <w:rFonts w:ascii="Times New Arabic" w:hAnsi="Times New Arabic" w:cs="Times New Roman"/>
          <w:szCs w:val="24"/>
          <w:lang w:val="id-ID"/>
        </w:rPr>
        <w:t xml:space="preserve"> </w:t>
      </w:r>
      <w:r w:rsidRPr="00695919">
        <w:rPr>
          <w:rFonts w:ascii="Times New Arabic" w:hAnsi="Times New Arabic" w:cs="Times New Roman"/>
          <w:szCs w:val="24"/>
        </w:rPr>
        <w:t xml:space="preserve">lantas dihapus sehingga Pasal 57 </w:t>
      </w:r>
      <w:r w:rsidRPr="00695919">
        <w:rPr>
          <w:rFonts w:ascii="Times New Arabic" w:hAnsi="Times New Arabic" w:cstheme="majorBidi"/>
          <w:szCs w:val="24"/>
        </w:rPr>
        <w:t>U</w:t>
      </w:r>
      <w:r w:rsidRPr="00695919">
        <w:rPr>
          <w:rFonts w:ascii="Times New Arabic" w:hAnsi="Times New Arabic" w:cstheme="majorBidi"/>
          <w:szCs w:val="24"/>
          <w:lang w:val="id-ID"/>
        </w:rPr>
        <w:t>ndang-Undang</w:t>
      </w:r>
      <w:r w:rsidRPr="00695919">
        <w:rPr>
          <w:rFonts w:ascii="Times New Arabic" w:hAnsi="Times New Arabic" w:cs="Times New Roman"/>
          <w:szCs w:val="24"/>
        </w:rPr>
        <w:t xml:space="preserve"> Ketengakerjaan hanya terdiri dari 2 (dua) ayat saja. Penghapusan ayat (2) ini berimplikasi tidak adanya konsekuensi hukum jika dikemudian hari didapati praktek PKWT yang dilakukan secara tidak tertulis </w:t>
      </w:r>
      <w:r w:rsidRPr="00695919">
        <w:rPr>
          <w:rFonts w:ascii="Times New Arabic" w:hAnsi="Times New Arabic" w:cs="Times New Roman"/>
          <w:szCs w:val="24"/>
        </w:rPr>
        <w:lastRenderedPageBreak/>
        <w:t>kendati Undang-Undang Cipta Kerja</w:t>
      </w:r>
      <w:r w:rsidRPr="00695919">
        <w:rPr>
          <w:rFonts w:ascii="Times New Arabic" w:hAnsi="Times New Arabic" w:cs="Times New Roman"/>
          <w:szCs w:val="24"/>
          <w:lang w:val="id-ID"/>
        </w:rPr>
        <w:t xml:space="preserve"> </w:t>
      </w:r>
      <w:r w:rsidRPr="00695919">
        <w:rPr>
          <w:rFonts w:ascii="Times New Arabic" w:hAnsi="Times New Arabic" w:cs="Times New Roman"/>
          <w:szCs w:val="24"/>
        </w:rPr>
        <w:t>mensyaratkan dibuat secara tertulis. Artinya ketentuan Undang-Undang Cipta Kerja</w:t>
      </w:r>
      <w:r w:rsidRPr="00695919">
        <w:rPr>
          <w:rFonts w:ascii="Times New Arabic" w:hAnsi="Times New Arabic" w:cs="Times New Roman"/>
          <w:szCs w:val="24"/>
          <w:lang w:val="id-ID"/>
        </w:rPr>
        <w:t xml:space="preserve"> </w:t>
      </w:r>
      <w:r w:rsidRPr="00695919">
        <w:rPr>
          <w:rFonts w:ascii="Times New Arabic" w:hAnsi="Times New Arabic" w:cs="Times New Roman"/>
          <w:szCs w:val="24"/>
        </w:rPr>
        <w:t>tidak memberikan sanksi atau konsekuensi jika ketentuan wajib membuat PKWT secara tertulis dilanggar</w:t>
      </w:r>
      <w:r w:rsidRPr="00695919">
        <w:rPr>
          <w:rFonts w:ascii="Times New Arabic" w:hAnsi="Times New Arabic" w:cs="Times New Roman"/>
          <w:szCs w:val="24"/>
          <w:lang w:val="id-ID"/>
        </w:rPr>
        <w:t xml:space="preserve"> </w:t>
      </w:r>
      <w:r w:rsidRPr="00695919">
        <w:rPr>
          <w:rFonts w:ascii="Times New Arabic" w:hAnsi="Times New Arabic" w:cs="Times New Roman"/>
          <w:szCs w:val="24"/>
        </w:rPr>
        <w:t>terutama oleh pengusaha. Hal ini tentunya menimbulkan kurangnya kepastian hukum</w:t>
      </w:r>
      <w:r w:rsidRPr="00695919">
        <w:rPr>
          <w:rFonts w:ascii="Times New Arabic" w:hAnsi="Times New Arabic" w:cs="Times New Roman"/>
          <w:szCs w:val="24"/>
          <w:lang w:val="id-ID"/>
        </w:rPr>
        <w:t xml:space="preserve"> </w:t>
      </w:r>
      <w:r w:rsidRPr="00695919">
        <w:rPr>
          <w:rFonts w:ascii="Times New Arabic" w:hAnsi="Times New Arabic" w:cs="Times New Roman"/>
          <w:szCs w:val="24"/>
        </w:rPr>
        <w:t>jika nantinya didapati perselisihan antara pengusaha dan pekerja dan mempersulit adanya bahan bukti dalam proses pembuktian</w:t>
      </w:r>
      <w:r w:rsidRPr="00695919">
        <w:rPr>
          <w:rFonts w:ascii="Times New Arabic" w:hAnsi="Times New Arabic" w:cs="Times New Roman"/>
          <w:szCs w:val="24"/>
          <w:lang w:val="id-ID"/>
        </w:rPr>
        <w:t xml:space="preserve"> </w:t>
      </w:r>
      <w:r w:rsidRPr="00695919">
        <w:rPr>
          <w:rFonts w:ascii="Times New Arabic" w:hAnsi="Times New Arabic" w:cs="Times New Roman"/>
          <w:szCs w:val="24"/>
        </w:rPr>
        <w:t xml:space="preserve">serta semakin membuka potensi </w:t>
      </w:r>
      <w:r w:rsidRPr="00695919">
        <w:rPr>
          <w:rFonts w:ascii="Times New Arabic" w:hAnsi="Times New Arabic" w:cs="Times New Roman"/>
          <w:i/>
          <w:iCs/>
          <w:szCs w:val="24"/>
        </w:rPr>
        <w:t>sub-ordinate</w:t>
      </w:r>
      <w:r w:rsidRPr="00695919">
        <w:rPr>
          <w:rFonts w:ascii="Times New Arabic" w:hAnsi="Times New Arabic" w:cs="Times New Roman"/>
          <w:szCs w:val="24"/>
        </w:rPr>
        <w:t xml:space="preserve"> kedua belah pihak. </w:t>
      </w:r>
    </w:p>
    <w:p w:rsidR="00D118B2" w:rsidRPr="00695919" w:rsidRDefault="001D5DEC" w:rsidP="00E77617">
      <w:pPr>
        <w:spacing w:line="276" w:lineRule="auto"/>
        <w:ind w:left="284" w:firstLine="720"/>
        <w:jc w:val="both"/>
        <w:rPr>
          <w:rFonts w:ascii="Times New Arabic" w:hAnsi="Times New Arabic" w:cstheme="majorBidi"/>
          <w:bCs/>
          <w:szCs w:val="24"/>
        </w:rPr>
      </w:pPr>
      <w:r w:rsidRPr="00695919">
        <w:rPr>
          <w:rFonts w:ascii="Times New Arabic" w:hAnsi="Times New Arabic" w:cs="Times New Roman"/>
          <w:szCs w:val="24"/>
        </w:rPr>
        <w:t xml:space="preserve">Kekuatan pembuktian dari perjanjian kerja yang dibuat secara tidak tertulis menyebabkan kedudukan pekerja semakin melemah. Selain itu pekerja juga tidak memiliki perlindungan hukum berkaitan dengan perubahan status perjanjian dari PKWT ke PKWTT. Padahal menurut Pasal 28D Ayat (1) UUD NRI 1945 disebutkan bahwa </w:t>
      </w:r>
      <w:r w:rsidRPr="00695919">
        <w:rPr>
          <w:rStyle w:val="hgkelc"/>
          <w:rFonts w:ascii="Times New Arabic" w:hAnsi="Times New Arabic" w:cstheme="majorBidi"/>
          <w:szCs w:val="24"/>
        </w:rPr>
        <w:t>“</w:t>
      </w:r>
      <w:r w:rsidRPr="00695919">
        <w:rPr>
          <w:rFonts w:ascii="Times New Arabic" w:hAnsi="Times New Arabic" w:cstheme="majorBidi"/>
          <w:bCs/>
          <w:szCs w:val="24"/>
        </w:rPr>
        <w:t xml:space="preserve">Setiap  orang  berhak  atas  pengakuan,  jaminan,  perlindungan,  dan  kepastian  hukum  yang  adil  serta  perlakuan yang sama dihadapan hukum.” Seharunya perlindungan terhadap pekerja dalam peraturan perundang-undangan harus berlandaskan pada amanat dan prinsip konstitusi. </w:t>
      </w:r>
    </w:p>
    <w:p w:rsidR="00D118B2" w:rsidRPr="00695919" w:rsidRDefault="001D5DEC" w:rsidP="00E77617">
      <w:pPr>
        <w:spacing w:line="276" w:lineRule="auto"/>
        <w:ind w:left="284" w:firstLine="720"/>
        <w:jc w:val="both"/>
        <w:rPr>
          <w:rFonts w:ascii="Times New Arabic" w:hAnsi="Times New Arabic" w:cstheme="majorBidi"/>
          <w:bCs/>
          <w:szCs w:val="24"/>
        </w:rPr>
      </w:pPr>
      <w:r w:rsidRPr="00695919">
        <w:rPr>
          <w:rFonts w:ascii="Times New Arabic" w:hAnsi="Times New Arabic" w:cstheme="majorBidi"/>
          <w:bCs/>
          <w:szCs w:val="24"/>
        </w:rPr>
        <w:t xml:space="preserve">Peraturan perundang-undangan yang mengatur tentang ketenagakerjaan juga seharunya diselenggarakan dengan upaya untuk melindungi pekerja dari kedudukan ekonomi yang lebih tinggi yaitu pengusaha. </w:t>
      </w:r>
      <w:r w:rsidRPr="00695919">
        <w:rPr>
          <w:rFonts w:ascii="Times New Arabic" w:hAnsi="Times New Arabic" w:cs="Times New Roman"/>
          <w:szCs w:val="24"/>
        </w:rPr>
        <w:t xml:space="preserve">Apabila regulasi tidak memberikan kepastian hukum, maka hubungan kerja sepenuhnya </w:t>
      </w:r>
      <w:proofErr w:type="gramStart"/>
      <w:r w:rsidRPr="00695919">
        <w:rPr>
          <w:rFonts w:ascii="Times New Arabic" w:hAnsi="Times New Arabic" w:cs="Times New Roman"/>
          <w:szCs w:val="24"/>
        </w:rPr>
        <w:t>akan</w:t>
      </w:r>
      <w:proofErr w:type="gramEnd"/>
      <w:r w:rsidRPr="00695919">
        <w:rPr>
          <w:rFonts w:ascii="Times New Arabic" w:hAnsi="Times New Arabic" w:cs="Times New Roman"/>
          <w:szCs w:val="24"/>
        </w:rPr>
        <w:t xml:space="preserve"> diserahkan kepada para pihak dan hal ini tentunya akan lebih susah untuk mencapai keseimbangan para pihak untuk memenuhi rasa keadilan sosial yang menjadi tujuan dari ketenagakerjaan. Posisi pengusaha sebagai pihak yang memiliki kedudukan ekonomi lebih tinggi juga dapat menekan kebebasan berkontrak pihak yang kedudukan ekonominya lebih rendah yaitu pekerja. Hal ini termasuk dalam perjanjian termasuk dalam penyelahgunaan keadaan.</w:t>
      </w:r>
      <w:r w:rsidRPr="00695919">
        <w:rPr>
          <w:rStyle w:val="FootnoteReference"/>
          <w:rFonts w:ascii="Times New Arabic" w:hAnsi="Times New Arabic" w:cs="Times New Roman"/>
          <w:szCs w:val="24"/>
        </w:rPr>
        <w:footnoteReference w:id="49"/>
      </w:r>
    </w:p>
    <w:p w:rsidR="002A1EA6" w:rsidRPr="00695919" w:rsidRDefault="001D5DEC" w:rsidP="00E77617">
      <w:pPr>
        <w:spacing w:line="276" w:lineRule="auto"/>
        <w:ind w:left="284" w:firstLine="720"/>
        <w:jc w:val="both"/>
        <w:rPr>
          <w:rFonts w:ascii="Times New Arabic" w:hAnsi="Times New Arabic" w:cstheme="majorBidi"/>
          <w:bCs/>
          <w:szCs w:val="24"/>
        </w:rPr>
      </w:pPr>
      <w:r w:rsidRPr="00695919">
        <w:rPr>
          <w:rFonts w:ascii="Times New Arabic" w:hAnsi="Times New Arabic" w:cs="Times New Roman"/>
          <w:szCs w:val="24"/>
        </w:rPr>
        <w:t>Penghapusan ketentuan konsekuensi hukum terhadap PKWT yang dibuat secara tidak tertulis dalam Pasal 81 Undang-Undang Cipta Kerja pada akhirnya menimbulkan kekosongan hukum. Selain itu ketentuan ini juga secara tidak langsung tidak memenuhi hak pekerja atas keamanan kerja. Keamanan kerja merupakan sebuah persepsi yang dimiliki individu terhadap kesinambungan pekerjaan dan posisi atau jabatan yang dimiliki dalam waktu panjang.</w:t>
      </w:r>
      <w:r w:rsidRPr="00695919">
        <w:rPr>
          <w:rStyle w:val="FootnoteReference"/>
          <w:rFonts w:ascii="Times New Arabic" w:hAnsi="Times New Arabic" w:cs="Times New Roman"/>
          <w:szCs w:val="24"/>
        </w:rPr>
        <w:footnoteReference w:id="50"/>
      </w:r>
      <w:r w:rsidRPr="00695919">
        <w:rPr>
          <w:rFonts w:ascii="Times New Arabic" w:hAnsi="Times New Arabic" w:cs="Times New Roman"/>
          <w:szCs w:val="24"/>
        </w:rPr>
        <w:t xml:space="preserve"> Hilangnya </w:t>
      </w:r>
      <w:r w:rsidRPr="00695919">
        <w:rPr>
          <w:rFonts w:ascii="Times New Arabic" w:hAnsi="Times New Arabic" w:cs="Times New Roman"/>
          <w:szCs w:val="24"/>
        </w:rPr>
        <w:lastRenderedPageBreak/>
        <w:t xml:space="preserve">pengaturan PKWT melalui perjanjian kerja yang dibuat secara tidak tertulis yang seharusnya merubah PKWT menjadi PKWTT dalam Undang-Undang Cipta Kerja dalam aspek keamanan kerja juga dapat dikatakan melanggar. Hal ini juga dapat memberikan pemahaman bahwa intervensi pemerintah dalam ketentuan PKWT yang dibuat secara tidak tertulis justru belum sepenuhnya tercermin. </w:t>
      </w:r>
    </w:p>
    <w:p w:rsidR="00D118B2" w:rsidRPr="00695919" w:rsidRDefault="00D118B2" w:rsidP="00E77617">
      <w:pPr>
        <w:spacing w:line="276" w:lineRule="auto"/>
        <w:jc w:val="both"/>
        <w:rPr>
          <w:rFonts w:ascii="Times New Arabic" w:hAnsi="Times New Arabic" w:cstheme="majorBidi"/>
          <w:b/>
          <w:bCs/>
          <w:color w:val="000000" w:themeColor="text1"/>
          <w:szCs w:val="24"/>
        </w:rPr>
      </w:pPr>
      <w:r w:rsidRPr="00695919">
        <w:rPr>
          <w:rFonts w:ascii="Times New Arabic" w:hAnsi="Times New Arabic" w:cstheme="majorBidi"/>
          <w:b/>
          <w:bCs/>
          <w:color w:val="000000" w:themeColor="text1"/>
          <w:szCs w:val="24"/>
        </w:rPr>
        <w:t xml:space="preserve">PERLINDUNGAN HUKUM BAGI PEKERJA PKWT PERSPEKTIF FIKIH HAM MENURUT ABDULLAHI AHMED AN-NA’IM </w:t>
      </w:r>
    </w:p>
    <w:p w:rsidR="000F3058" w:rsidRPr="00695919" w:rsidRDefault="0025258C" w:rsidP="00E77617">
      <w:pPr>
        <w:spacing w:line="276" w:lineRule="auto"/>
        <w:ind w:firstLine="436"/>
        <w:jc w:val="both"/>
        <w:rPr>
          <w:rFonts w:ascii="Times New Arabic" w:hAnsi="Times New Arabic" w:cstheme="majorBidi"/>
          <w:szCs w:val="24"/>
          <w:lang w:val="id-ID"/>
        </w:rPr>
      </w:pPr>
      <w:r w:rsidRPr="00695919">
        <w:rPr>
          <w:rFonts w:ascii="Times New Arabic" w:hAnsi="Times New Arabic" w:cstheme="majorBidi"/>
          <w:szCs w:val="24"/>
          <w:lang w:val="en-US"/>
        </w:rPr>
        <w:t>S</w:t>
      </w:r>
      <w:r w:rsidR="000F3058" w:rsidRPr="00695919">
        <w:rPr>
          <w:rFonts w:ascii="Times New Arabic" w:hAnsi="Times New Arabic" w:cstheme="majorBidi"/>
          <w:szCs w:val="24"/>
          <w:lang w:val="id-ID"/>
        </w:rPr>
        <w:t xml:space="preserve">pirit </w:t>
      </w:r>
      <w:r w:rsidRPr="00695919">
        <w:rPr>
          <w:rFonts w:ascii="Times New Arabic" w:hAnsi="Times New Arabic" w:cstheme="majorBidi"/>
          <w:szCs w:val="24"/>
          <w:lang w:val="en-US"/>
        </w:rPr>
        <w:t>fikih HAM</w:t>
      </w:r>
      <w:r w:rsidR="001D7FAF" w:rsidRPr="00695919">
        <w:rPr>
          <w:rFonts w:ascii="Times New Arabic" w:hAnsi="Times New Arabic" w:cstheme="majorBidi"/>
          <w:szCs w:val="24"/>
          <w:lang w:val="id-ID"/>
        </w:rPr>
        <w:t xml:space="preserve"> Abdullahi Ahmed </w:t>
      </w:r>
      <w:r w:rsidR="000F3058" w:rsidRPr="00695919">
        <w:rPr>
          <w:rFonts w:ascii="Times New Arabic" w:hAnsi="Times New Arabic" w:cstheme="majorBidi"/>
          <w:szCs w:val="24"/>
          <w:lang w:val="id-ID"/>
        </w:rPr>
        <w:t xml:space="preserve">an-Na’im erat kaitannya dengan pemenuhan hak-hak bagi pekerja dan hak-hak tersebut harus dilindungi.  Sehubungan dengan urgensitas perlindungan hukum atas pemenuhan hak pekerja, </w:t>
      </w:r>
      <w:r w:rsidR="00862D7E" w:rsidRPr="00695919">
        <w:rPr>
          <w:rFonts w:ascii="Times New Arabic" w:hAnsi="Times New Arabic" w:cstheme="majorBidi"/>
          <w:szCs w:val="24"/>
          <w:lang w:val="id-ID"/>
        </w:rPr>
        <w:t>maka kiranya penting bahwa konsep fikih HAM menurut</w:t>
      </w:r>
      <w:r w:rsidR="000F3058" w:rsidRPr="00695919">
        <w:rPr>
          <w:rFonts w:ascii="Times New Arabic" w:hAnsi="Times New Arabic" w:cstheme="majorBidi"/>
          <w:szCs w:val="24"/>
          <w:lang w:val="id-ID"/>
        </w:rPr>
        <w:t xml:space="preserve"> an-Na’im menjadi acuan dalam melihat kebijakan hukum ketenagakerjaan </w:t>
      </w:r>
      <w:r w:rsidR="00862D7E" w:rsidRPr="00695919">
        <w:rPr>
          <w:rFonts w:ascii="Times New Arabic" w:hAnsi="Times New Arabic" w:cstheme="majorBidi"/>
          <w:szCs w:val="24"/>
          <w:lang w:val="id-ID"/>
        </w:rPr>
        <w:t xml:space="preserve">di Indonesia </w:t>
      </w:r>
      <w:r w:rsidR="000F3058" w:rsidRPr="00695919">
        <w:rPr>
          <w:rFonts w:ascii="Times New Arabic" w:hAnsi="Times New Arabic" w:cstheme="majorBidi"/>
          <w:szCs w:val="24"/>
          <w:lang w:val="id-ID"/>
        </w:rPr>
        <w:t>khususnya</w:t>
      </w:r>
      <w:r w:rsidR="00862D7E" w:rsidRPr="00695919">
        <w:rPr>
          <w:rFonts w:ascii="Times New Arabic" w:hAnsi="Times New Arabic" w:cstheme="majorBidi"/>
          <w:szCs w:val="24"/>
          <w:lang w:val="id-ID"/>
        </w:rPr>
        <w:t xml:space="preserve"> dalam skup pengaturan PKWT yang saat ini diatur dalam Undang-Undang Cipta Kerja</w:t>
      </w:r>
      <w:r w:rsidR="000F3058" w:rsidRPr="00695919">
        <w:rPr>
          <w:rFonts w:ascii="Times New Arabic" w:hAnsi="Times New Arabic" w:cstheme="majorBidi"/>
          <w:szCs w:val="24"/>
          <w:lang w:val="id-ID"/>
        </w:rPr>
        <w:t>.</w:t>
      </w:r>
    </w:p>
    <w:p w:rsidR="000F3058" w:rsidRPr="00695919" w:rsidRDefault="000F3058" w:rsidP="00E77617">
      <w:pPr>
        <w:pStyle w:val="ListParagraph"/>
        <w:numPr>
          <w:ilvl w:val="0"/>
          <w:numId w:val="3"/>
        </w:numPr>
        <w:spacing w:line="276" w:lineRule="auto"/>
        <w:ind w:left="284" w:hanging="284"/>
        <w:jc w:val="both"/>
        <w:rPr>
          <w:rFonts w:ascii="Times New Arabic" w:hAnsi="Times New Arabic" w:cstheme="majorBidi"/>
          <w:b/>
          <w:bCs/>
          <w:sz w:val="24"/>
          <w:szCs w:val="24"/>
        </w:rPr>
      </w:pPr>
      <w:r w:rsidRPr="00695919">
        <w:rPr>
          <w:rFonts w:ascii="Times New Arabic" w:hAnsi="Times New Arabic" w:cstheme="majorBidi"/>
          <w:b/>
          <w:bCs/>
          <w:sz w:val="24"/>
          <w:szCs w:val="24"/>
        </w:rPr>
        <w:t xml:space="preserve">Perlindungan hukum atas pemenuhan hak untuk hidup dan bebas menurut </w:t>
      </w:r>
      <w:r w:rsidRPr="00695919">
        <w:rPr>
          <w:rFonts w:ascii="Times New Arabic" w:hAnsi="Times New Arabic" w:cstheme="majorBidi"/>
          <w:b/>
          <w:bCs/>
          <w:sz w:val="24"/>
          <w:szCs w:val="24"/>
          <w:lang w:val="id-ID"/>
        </w:rPr>
        <w:t>a</w:t>
      </w:r>
      <w:r w:rsidRPr="00695919">
        <w:rPr>
          <w:rFonts w:ascii="Times New Arabic" w:hAnsi="Times New Arabic" w:cstheme="majorBidi"/>
          <w:b/>
          <w:bCs/>
          <w:sz w:val="24"/>
          <w:szCs w:val="24"/>
        </w:rPr>
        <w:t>n-Na’im bagi pekerja PKWT</w:t>
      </w:r>
    </w:p>
    <w:p w:rsidR="000F3058" w:rsidRPr="00695919" w:rsidRDefault="000A0D52" w:rsidP="00E77617">
      <w:pPr>
        <w:pStyle w:val="ListParagraph"/>
        <w:spacing w:line="276" w:lineRule="auto"/>
        <w:ind w:left="284" w:firstLine="436"/>
        <w:jc w:val="both"/>
        <w:rPr>
          <w:rFonts w:ascii="Times New Arabic" w:hAnsi="Times New Arabic" w:cstheme="majorBidi"/>
          <w:sz w:val="24"/>
          <w:szCs w:val="24"/>
        </w:rPr>
      </w:pPr>
      <w:r w:rsidRPr="00695919">
        <w:rPr>
          <w:rFonts w:ascii="Times New Arabic" w:hAnsi="Times New Arabic" w:cstheme="majorBidi"/>
          <w:sz w:val="24"/>
          <w:szCs w:val="24"/>
        </w:rPr>
        <w:t>S</w:t>
      </w:r>
      <w:r w:rsidR="000F3058" w:rsidRPr="00695919">
        <w:rPr>
          <w:rFonts w:ascii="Times New Arabic" w:hAnsi="Times New Arabic" w:cstheme="majorBidi"/>
          <w:sz w:val="24"/>
          <w:szCs w:val="24"/>
        </w:rPr>
        <w:t xml:space="preserve">pirit evolusi hukum Islam dalam pandangan </w:t>
      </w:r>
      <w:r w:rsidR="000F3058" w:rsidRPr="00695919">
        <w:rPr>
          <w:rFonts w:ascii="Times New Arabic" w:hAnsi="Times New Arabic" w:cstheme="majorBidi"/>
          <w:sz w:val="24"/>
          <w:szCs w:val="24"/>
          <w:lang w:val="id-ID"/>
        </w:rPr>
        <w:t>a</w:t>
      </w:r>
      <w:r w:rsidR="000F3058" w:rsidRPr="00695919">
        <w:rPr>
          <w:rFonts w:ascii="Times New Arabic" w:hAnsi="Times New Arabic" w:cstheme="majorBidi"/>
          <w:sz w:val="24"/>
          <w:szCs w:val="24"/>
        </w:rPr>
        <w:t>n-Na’im telah menghantarkannya pada prinsip nilai-nilai humanisme yang perlu diterapkan dalam kebijakan dan dijadikan sebagai konsensus bersama. Satu titik penting dalam nilai-nilai humanisme adalah menjunjung tinggi hak-hak dasar manusia seperti hak untuk hidup dan bebas.</w:t>
      </w:r>
      <w:r w:rsidR="000F3058" w:rsidRPr="00695919">
        <w:rPr>
          <w:rStyle w:val="FootnoteReference"/>
          <w:rFonts w:ascii="Times New Arabic" w:hAnsi="Times New Arabic" w:cstheme="majorBidi"/>
          <w:sz w:val="24"/>
          <w:szCs w:val="24"/>
        </w:rPr>
        <w:footnoteReference w:id="51"/>
      </w:r>
      <w:r w:rsidR="000F3058" w:rsidRPr="00695919">
        <w:rPr>
          <w:rFonts w:ascii="Times New Arabic" w:hAnsi="Times New Arabic" w:cstheme="majorBidi"/>
          <w:sz w:val="24"/>
          <w:szCs w:val="24"/>
        </w:rPr>
        <w:t xml:space="preserve"> Hak untuk hidup dan bebas dalam pandangannya adalah hak bagi manusia untuk selalu berusaha keras untuk memenuhi kebutuhan sandang, pangan, papan, dan kebutuhan lainnya yang erat kaitannya dengan kebutuhan keberlangsungan hidup manusia. Manusia juga selalu berusaha untuk meningkatkan kualitas hidup agar menuju kehidupan yang lebih baik, dengan jalan pengembangan dan pemanfaatan sumber daya dan melalui perjuangan politik guna mewujudkan kesejahteraan dan kekuasaan yang adil dan jujur.</w:t>
      </w:r>
      <w:r w:rsidR="000F3058" w:rsidRPr="00695919">
        <w:rPr>
          <w:rStyle w:val="FootnoteReference"/>
          <w:rFonts w:ascii="Times New Arabic" w:hAnsi="Times New Arabic" w:cstheme="majorBidi"/>
          <w:sz w:val="24"/>
          <w:szCs w:val="24"/>
        </w:rPr>
        <w:footnoteReference w:id="52"/>
      </w:r>
    </w:p>
    <w:p w:rsidR="000F3058" w:rsidRPr="00695919" w:rsidRDefault="000F3058" w:rsidP="00E77617">
      <w:pPr>
        <w:pStyle w:val="ListParagraph"/>
        <w:spacing w:line="276" w:lineRule="auto"/>
        <w:ind w:left="284" w:firstLine="436"/>
        <w:jc w:val="both"/>
        <w:rPr>
          <w:rFonts w:ascii="Times New Arabic" w:hAnsi="Times New Arabic" w:cstheme="majorBidi"/>
          <w:sz w:val="24"/>
          <w:szCs w:val="24"/>
        </w:rPr>
      </w:pPr>
      <w:r w:rsidRPr="00695919">
        <w:rPr>
          <w:rFonts w:ascii="Times New Arabic" w:hAnsi="Times New Arabic" w:cstheme="majorBidi"/>
          <w:sz w:val="24"/>
          <w:szCs w:val="24"/>
        </w:rPr>
        <w:t>Hak untuk hidup merupakan hak yang paling mendasar bagi setiap manusia yang sifat keberadaannya tidak lagi dapat ditawar (</w:t>
      </w:r>
      <w:r w:rsidRPr="00695919">
        <w:rPr>
          <w:rFonts w:ascii="Times New Arabic" w:hAnsi="Times New Arabic" w:cstheme="majorBidi"/>
          <w:i/>
          <w:iCs/>
          <w:sz w:val="24"/>
          <w:szCs w:val="24"/>
        </w:rPr>
        <w:t>non derograble rights</w:t>
      </w:r>
      <w:r w:rsidRPr="00695919">
        <w:rPr>
          <w:rFonts w:ascii="Times New Arabic" w:hAnsi="Times New Arabic" w:cstheme="majorBidi"/>
          <w:sz w:val="24"/>
          <w:szCs w:val="24"/>
        </w:rPr>
        <w:t xml:space="preserve">). Dalam Pasal 3 </w:t>
      </w:r>
      <w:r w:rsidR="00444D63" w:rsidRPr="00695919">
        <w:rPr>
          <w:rFonts w:ascii="Times New Arabic" w:hAnsi="Times New Arabic" w:cstheme="majorBidi"/>
          <w:sz w:val="24"/>
          <w:szCs w:val="24"/>
        </w:rPr>
        <w:t xml:space="preserve">Deklarasi Universal Hak Asasi Manusia </w:t>
      </w:r>
      <w:r w:rsidRPr="00695919">
        <w:rPr>
          <w:rFonts w:ascii="Times New Arabic" w:hAnsi="Times New Arabic" w:cstheme="majorBidi"/>
          <w:sz w:val="24"/>
          <w:szCs w:val="24"/>
        </w:rPr>
        <w:t>(</w:t>
      </w:r>
      <w:r w:rsidR="00444D63" w:rsidRPr="00695919">
        <w:rPr>
          <w:rFonts w:ascii="Times New Arabic" w:hAnsi="Times New Arabic" w:cstheme="majorBidi"/>
          <w:sz w:val="24"/>
          <w:szCs w:val="24"/>
        </w:rPr>
        <w:t>DUHAM</w:t>
      </w:r>
      <w:r w:rsidRPr="00695919">
        <w:rPr>
          <w:rFonts w:ascii="Times New Arabic" w:hAnsi="Times New Arabic" w:cstheme="majorBidi"/>
          <w:sz w:val="24"/>
          <w:szCs w:val="24"/>
        </w:rPr>
        <w:t xml:space="preserve">) disebutkan bahwa setiap orang mempunyai hak atas kehidupan, kemerdekaan dan keselamatannya. </w:t>
      </w:r>
      <w:r w:rsidRPr="00695919">
        <w:rPr>
          <w:rFonts w:ascii="Times New Arabic" w:hAnsi="Times New Arabic" w:cstheme="majorBidi"/>
          <w:sz w:val="24"/>
          <w:szCs w:val="24"/>
        </w:rPr>
        <w:lastRenderedPageBreak/>
        <w:t>Soal hak hidup masuk dalam rumusan intrumen Internasional lainnya yaitu ICCPR (</w:t>
      </w:r>
      <w:r w:rsidRPr="00695919">
        <w:rPr>
          <w:rFonts w:ascii="Times New Arabic" w:hAnsi="Times New Arabic" w:cstheme="majorBidi"/>
          <w:i/>
          <w:iCs/>
          <w:sz w:val="24"/>
          <w:szCs w:val="24"/>
        </w:rPr>
        <w:t>International Convenan Civil and Political Right</w:t>
      </w:r>
      <w:r w:rsidRPr="00695919">
        <w:rPr>
          <w:rFonts w:ascii="Times New Arabic" w:hAnsi="Times New Arabic" w:cstheme="majorBidi"/>
          <w:sz w:val="24"/>
          <w:szCs w:val="24"/>
        </w:rPr>
        <w:t>) dimana Pasal 6 Ayat (1) menegaskan bahwa setiap manusia memiliki melekat hak untuk hidup. Hak ini harus dilindungi oleh hukum. Tidak seorang pun insan yang secara gegabah boleh dirampas hak kehidupannya.</w:t>
      </w:r>
      <w:r w:rsidRPr="00695919">
        <w:rPr>
          <w:rStyle w:val="FootnoteReference"/>
          <w:rFonts w:ascii="Times New Arabic" w:hAnsi="Times New Arabic" w:cstheme="majorBidi"/>
          <w:sz w:val="24"/>
          <w:szCs w:val="24"/>
        </w:rPr>
        <w:footnoteReference w:id="53"/>
      </w:r>
      <w:r w:rsidRPr="00695919">
        <w:rPr>
          <w:rFonts w:ascii="Times New Arabic" w:hAnsi="Times New Arabic" w:cstheme="majorBidi"/>
          <w:sz w:val="24"/>
          <w:szCs w:val="24"/>
        </w:rPr>
        <w:t xml:space="preserve"> Urgensitas hak untuk hidup juga sesungguhnya telah perhatikan oleh negara melalui konstitusi dan peraturan per</w:t>
      </w:r>
      <w:r w:rsidRPr="00695919">
        <w:rPr>
          <w:rFonts w:ascii="Times New Arabic" w:hAnsi="Times New Arabic" w:cstheme="majorBidi"/>
          <w:sz w:val="24"/>
          <w:szCs w:val="24"/>
          <w:lang w:val="id-ID"/>
        </w:rPr>
        <w:t>undang-undang</w:t>
      </w:r>
      <w:r w:rsidRPr="00695919">
        <w:rPr>
          <w:rFonts w:ascii="Times New Arabic" w:hAnsi="Times New Arabic" w:cstheme="majorBidi"/>
          <w:sz w:val="24"/>
          <w:szCs w:val="24"/>
        </w:rPr>
        <w:t>an tentang HAM.</w:t>
      </w:r>
      <w:r w:rsidRPr="00695919">
        <w:rPr>
          <w:rStyle w:val="FootnoteReference"/>
          <w:rFonts w:ascii="Times New Arabic" w:hAnsi="Times New Arabic" w:cstheme="majorBidi"/>
          <w:sz w:val="24"/>
          <w:szCs w:val="24"/>
        </w:rPr>
        <w:footnoteReference w:id="54"/>
      </w:r>
      <w:r w:rsidRPr="00695919">
        <w:rPr>
          <w:rFonts w:ascii="Times New Arabic" w:hAnsi="Times New Arabic" w:cstheme="majorBidi"/>
          <w:sz w:val="24"/>
          <w:szCs w:val="24"/>
        </w:rPr>
        <w:t xml:space="preserve"> Adapun kehendak untuk bebas merupakan kehendak bebas untuk terhindar dari keterbatasan fisik dan jaminan sandang pangan. Kehendak ini merupakan spirit dan kekuatan yang menjadi penggerak untuk mendapatkan kesejahteraan dan kemuliaan, spiritual, moral, dan seni.</w:t>
      </w:r>
      <w:r w:rsidRPr="00695919">
        <w:rPr>
          <w:rStyle w:val="FootnoteReference"/>
          <w:rFonts w:ascii="Times New Arabic" w:hAnsi="Times New Arabic" w:cstheme="majorBidi"/>
          <w:sz w:val="24"/>
          <w:szCs w:val="24"/>
        </w:rPr>
        <w:footnoteReference w:id="55"/>
      </w:r>
    </w:p>
    <w:p w:rsidR="000F3058" w:rsidRPr="00695919" w:rsidRDefault="000F3058" w:rsidP="00E77617">
      <w:pPr>
        <w:pStyle w:val="ListParagraph"/>
        <w:spacing w:line="276" w:lineRule="auto"/>
        <w:ind w:left="284" w:firstLine="436"/>
        <w:jc w:val="both"/>
        <w:rPr>
          <w:rFonts w:ascii="Times New Arabic" w:hAnsi="Times New Arabic" w:cstheme="majorBidi"/>
          <w:sz w:val="24"/>
          <w:szCs w:val="24"/>
        </w:rPr>
      </w:pPr>
      <w:r w:rsidRPr="00695919">
        <w:rPr>
          <w:rFonts w:ascii="Times New Arabic" w:hAnsi="Times New Arabic" w:cstheme="majorBidi"/>
          <w:sz w:val="24"/>
          <w:szCs w:val="24"/>
        </w:rPr>
        <w:t>Relevansi hak untuk hidup dan bebas dengan hukum ketenagakerjaan adalah spirit kesejahteraan yang dikehendaki bagi para pekerja dengan adanya penghidupan yang layak. Jadi sudah semestinya kebijakan mengenai hukum ketenagakerjaan mengalirkan spirit hak untuk hidup dan bebas bagi para pekerja sehingga dapat mewujudkan kesejahteraan dan penghidupan yang layak baik bagi individu pekerja maupun keluarganya. Dengan demikian hukum ketenagakerjaan haruslah dapat menjadi instrumen perlindungan hukum bagi para pekerja untuk pemenuhan hak untuk hidup dan bebas. Melalui pemenuhan hak untuk hidup dan bebas, dapat menjadi pemacu dalam mencapai kesejahteraan pekerja sesuai dengan salah satu tujuan pembangunan ketenagakerjaan yakni memberikan perlindungan kepada pekerja/buruh dalam mewujdukan kesejahteraan sebagaimana yang diatur dalam Pasal 4 huruf c U</w:t>
      </w:r>
      <w:r w:rsidRPr="00695919">
        <w:rPr>
          <w:rFonts w:ascii="Times New Arabic" w:hAnsi="Times New Arabic" w:cstheme="majorBidi"/>
          <w:sz w:val="24"/>
          <w:szCs w:val="24"/>
          <w:lang w:val="id-ID"/>
        </w:rPr>
        <w:t>ndang-Undang</w:t>
      </w:r>
      <w:r w:rsidRPr="00695919">
        <w:rPr>
          <w:rFonts w:ascii="Times New Arabic" w:hAnsi="Times New Arabic" w:cstheme="majorBidi"/>
          <w:sz w:val="24"/>
          <w:szCs w:val="24"/>
        </w:rPr>
        <w:t xml:space="preserve"> Ketenagakerjaan.</w:t>
      </w:r>
      <w:r w:rsidRPr="00695919">
        <w:rPr>
          <w:rStyle w:val="FootnoteReference"/>
          <w:rFonts w:ascii="Times New Arabic" w:hAnsi="Times New Arabic" w:cstheme="majorBidi"/>
          <w:sz w:val="24"/>
          <w:szCs w:val="24"/>
        </w:rPr>
        <w:footnoteReference w:id="56"/>
      </w:r>
    </w:p>
    <w:p w:rsidR="000F3058" w:rsidRPr="00695919" w:rsidRDefault="000F3058" w:rsidP="00E77617">
      <w:pPr>
        <w:pStyle w:val="ListParagraph"/>
        <w:spacing w:line="276" w:lineRule="auto"/>
        <w:ind w:left="284" w:firstLine="436"/>
        <w:jc w:val="both"/>
        <w:rPr>
          <w:rFonts w:ascii="Times New Arabic" w:hAnsi="Times New Arabic" w:cstheme="majorBidi"/>
          <w:sz w:val="24"/>
          <w:szCs w:val="24"/>
        </w:rPr>
      </w:pPr>
      <w:r w:rsidRPr="00695919">
        <w:rPr>
          <w:rFonts w:ascii="Times New Arabic" w:hAnsi="Times New Arabic" w:cstheme="majorBidi"/>
          <w:sz w:val="24"/>
          <w:szCs w:val="24"/>
        </w:rPr>
        <w:lastRenderedPageBreak/>
        <w:t xml:space="preserve">Namun merujuk pada ketentuan hubungan kerja dalam perjanjian PKWT yang berdasarkan selesainya suatu pekerjaan saat ini belum mencerminkan spirit hak untuk hidup dan bebas bagi pekerja. Pasalnya, ketentuan tersebut memberikan kebebasan pelaksanaan PKWT sesuai dengan selesaianya suatu pekerjaan yang memungkinkan perjanjian PKWT tersebut dijalankan secara terus-menerus tanpa adanya peralihan status menjadi pekerja tetap. Alhasil, hak-hak lain yang seharusnya didapatkan </w:t>
      </w:r>
      <w:proofErr w:type="gramStart"/>
      <w:r w:rsidRPr="00695919">
        <w:rPr>
          <w:rFonts w:ascii="Times New Arabic" w:hAnsi="Times New Arabic" w:cstheme="majorBidi"/>
          <w:sz w:val="24"/>
          <w:szCs w:val="24"/>
        </w:rPr>
        <w:t>akan</w:t>
      </w:r>
      <w:proofErr w:type="gramEnd"/>
      <w:r w:rsidRPr="00695919">
        <w:rPr>
          <w:rFonts w:ascii="Times New Arabic" w:hAnsi="Times New Arabic" w:cstheme="majorBidi"/>
          <w:sz w:val="24"/>
          <w:szCs w:val="24"/>
        </w:rPr>
        <w:t xml:space="preserve"> terhambat sehingga secara tidak langsung juga membatasi hak untuk hidup dan bebas bagi pekerja untuk mencapai tarap kesejahteraan dan penghidupan layak. </w:t>
      </w:r>
    </w:p>
    <w:p w:rsidR="000F3058" w:rsidRPr="00695919" w:rsidRDefault="000F3058" w:rsidP="00E77617">
      <w:pPr>
        <w:pStyle w:val="ListParagraph"/>
        <w:spacing w:line="276" w:lineRule="auto"/>
        <w:ind w:left="284" w:firstLine="436"/>
        <w:jc w:val="both"/>
        <w:rPr>
          <w:rFonts w:ascii="Times New Arabic" w:hAnsi="Times New Arabic" w:cstheme="majorBidi"/>
          <w:sz w:val="24"/>
          <w:szCs w:val="24"/>
        </w:rPr>
      </w:pPr>
      <w:r w:rsidRPr="00695919">
        <w:rPr>
          <w:rFonts w:ascii="Times New Arabic" w:hAnsi="Times New Arabic" w:cstheme="majorBidi"/>
          <w:sz w:val="24"/>
          <w:szCs w:val="24"/>
        </w:rPr>
        <w:t xml:space="preserve">Persoalan mengenai ditiadakannya konsekuensi hukum jika tidak melakukan perjanjian PKWT secara tidak tertulis juga secara langsung memberikan kuasa yang lebih bagi pengusaha dalam membuat perjanjian kerja. Hal ini tentunya </w:t>
      </w:r>
      <w:proofErr w:type="gramStart"/>
      <w:r w:rsidRPr="00695919">
        <w:rPr>
          <w:rFonts w:ascii="Times New Arabic" w:hAnsi="Times New Arabic" w:cstheme="majorBidi"/>
          <w:sz w:val="24"/>
          <w:szCs w:val="24"/>
        </w:rPr>
        <w:t>akan</w:t>
      </w:r>
      <w:proofErr w:type="gramEnd"/>
      <w:r w:rsidRPr="00695919">
        <w:rPr>
          <w:rFonts w:ascii="Times New Arabic" w:hAnsi="Times New Arabic" w:cstheme="majorBidi"/>
          <w:sz w:val="24"/>
          <w:szCs w:val="24"/>
        </w:rPr>
        <w:t xml:space="preserve"> mengakibatkan surplus kuasa pengusaha terhadap pekerja sehingga berimplikasi</w:t>
      </w:r>
      <w:r w:rsidR="006A7C6D" w:rsidRPr="00695919">
        <w:rPr>
          <w:rFonts w:ascii="Times New Arabic" w:hAnsi="Times New Arabic" w:cstheme="majorBidi"/>
          <w:sz w:val="24"/>
          <w:szCs w:val="24"/>
        </w:rPr>
        <w:t xml:space="preserve"> ekspolitasi pekerja yang</w:t>
      </w:r>
      <w:r w:rsidRPr="00695919">
        <w:rPr>
          <w:rFonts w:ascii="Times New Arabic" w:hAnsi="Times New Arabic" w:cstheme="majorBidi"/>
          <w:sz w:val="24"/>
          <w:szCs w:val="24"/>
        </w:rPr>
        <w:t xml:space="preserve"> pada</w:t>
      </w:r>
      <w:r w:rsidR="006A7C6D" w:rsidRPr="00695919">
        <w:rPr>
          <w:rFonts w:ascii="Times New Arabic" w:hAnsi="Times New Arabic" w:cstheme="majorBidi"/>
          <w:sz w:val="24"/>
          <w:szCs w:val="24"/>
        </w:rPr>
        <w:t xml:space="preserve"> akhirnya dapat menekan adany </w:t>
      </w:r>
      <w:r w:rsidRPr="00695919">
        <w:rPr>
          <w:rFonts w:ascii="Times New Arabic" w:hAnsi="Times New Arabic" w:cstheme="majorBidi"/>
          <w:sz w:val="24"/>
          <w:szCs w:val="24"/>
        </w:rPr>
        <w:t xml:space="preserve">hak untuk hidup dan bebas bagi pekerja. Dengan begitu, pemenuhan hak lain seperti hak menjadi pekerja tetap yang memberikan jaminan hak lebih seperti hak ekonomi </w:t>
      </w:r>
      <w:proofErr w:type="gramStart"/>
      <w:r w:rsidRPr="00695919">
        <w:rPr>
          <w:rFonts w:ascii="Times New Arabic" w:hAnsi="Times New Arabic" w:cstheme="majorBidi"/>
          <w:sz w:val="24"/>
          <w:szCs w:val="24"/>
        </w:rPr>
        <w:t>akan</w:t>
      </w:r>
      <w:proofErr w:type="gramEnd"/>
      <w:r w:rsidRPr="00695919">
        <w:rPr>
          <w:rFonts w:ascii="Times New Arabic" w:hAnsi="Times New Arabic" w:cstheme="majorBidi"/>
          <w:sz w:val="24"/>
          <w:szCs w:val="24"/>
        </w:rPr>
        <w:t xml:space="preserve"> terhambat dengan penghapusan konsekuensi hukum perjanjian PKWT secara tidak tertulis. </w:t>
      </w:r>
    </w:p>
    <w:p w:rsidR="000F3058" w:rsidRPr="00695919" w:rsidRDefault="000F3058" w:rsidP="00E77617">
      <w:pPr>
        <w:pStyle w:val="ListParagraph"/>
        <w:numPr>
          <w:ilvl w:val="0"/>
          <w:numId w:val="3"/>
        </w:numPr>
        <w:spacing w:line="276" w:lineRule="auto"/>
        <w:ind w:left="284" w:hanging="284"/>
        <w:jc w:val="both"/>
        <w:rPr>
          <w:rFonts w:ascii="Times New Arabic" w:hAnsi="Times New Arabic" w:cstheme="majorBidi"/>
          <w:b/>
          <w:bCs/>
          <w:sz w:val="24"/>
          <w:szCs w:val="24"/>
        </w:rPr>
      </w:pPr>
      <w:r w:rsidRPr="00695919">
        <w:rPr>
          <w:rFonts w:ascii="Times New Arabic" w:hAnsi="Times New Arabic" w:cstheme="majorBidi"/>
          <w:b/>
          <w:bCs/>
          <w:sz w:val="24"/>
          <w:szCs w:val="24"/>
        </w:rPr>
        <w:t xml:space="preserve">Prinsip resiprositas </w:t>
      </w:r>
      <w:r w:rsidRPr="00695919">
        <w:rPr>
          <w:rFonts w:ascii="Times New Arabic" w:hAnsi="Times New Arabic" w:cstheme="majorBidi"/>
          <w:b/>
          <w:bCs/>
          <w:sz w:val="24"/>
          <w:szCs w:val="24"/>
          <w:lang w:val="id-ID"/>
        </w:rPr>
        <w:t>a</w:t>
      </w:r>
      <w:r w:rsidRPr="00695919">
        <w:rPr>
          <w:rFonts w:ascii="Times New Arabic" w:hAnsi="Times New Arabic" w:cstheme="majorBidi"/>
          <w:b/>
          <w:bCs/>
          <w:sz w:val="24"/>
          <w:szCs w:val="24"/>
        </w:rPr>
        <w:t>n-Na’im sebagai bentuk pemenuhan hak dasar</w:t>
      </w:r>
    </w:p>
    <w:p w:rsidR="001D7FAF" w:rsidRPr="00695919" w:rsidRDefault="000F3058" w:rsidP="00E77617">
      <w:pPr>
        <w:pStyle w:val="ListParagraph"/>
        <w:spacing w:line="276" w:lineRule="auto"/>
        <w:ind w:left="284" w:firstLine="436"/>
        <w:jc w:val="both"/>
        <w:rPr>
          <w:rFonts w:ascii="Times New Arabic" w:hAnsi="Times New Arabic" w:cstheme="majorBidi"/>
          <w:sz w:val="24"/>
          <w:szCs w:val="24"/>
        </w:rPr>
      </w:pPr>
      <w:r w:rsidRPr="00695919">
        <w:rPr>
          <w:rFonts w:ascii="Times New Arabic" w:hAnsi="Times New Arabic" w:cstheme="majorBidi"/>
          <w:sz w:val="24"/>
          <w:szCs w:val="24"/>
        </w:rPr>
        <w:t xml:space="preserve">Prinsip </w:t>
      </w:r>
      <w:r w:rsidRPr="00695919">
        <w:rPr>
          <w:rFonts w:ascii="Times New Arabic" w:hAnsi="Times New Arabic" w:cstheme="majorBidi"/>
          <w:i/>
          <w:iCs/>
          <w:sz w:val="24"/>
          <w:szCs w:val="24"/>
        </w:rPr>
        <w:t>reciprocity</w:t>
      </w:r>
      <w:r w:rsidRPr="00695919">
        <w:rPr>
          <w:rFonts w:ascii="Times New Arabic" w:hAnsi="Times New Arabic" w:cstheme="majorBidi"/>
          <w:sz w:val="24"/>
          <w:szCs w:val="24"/>
        </w:rPr>
        <w:t xml:space="preserve"> (resiprositas) adalah prinsip bahwa seseorang dalam memeperlakukan orang lain harus seperti orang tersebut mengharap perlakukan dari orang lain. Berdasarkan prinsip ini, didapati dua hal utama yakni adil dan perlakuan tanpa adanya diskriminasi. Prinsip keadilan berperan penting dalam pelaksanaan perjanjian kerja yang menghendaki setiap orang mendapatkan hak yang </w:t>
      </w:r>
      <w:proofErr w:type="gramStart"/>
      <w:r w:rsidRPr="00695919">
        <w:rPr>
          <w:rFonts w:ascii="Times New Arabic" w:hAnsi="Times New Arabic" w:cstheme="majorBidi"/>
          <w:sz w:val="24"/>
          <w:szCs w:val="24"/>
        </w:rPr>
        <w:t>sama</w:t>
      </w:r>
      <w:proofErr w:type="gramEnd"/>
      <w:r w:rsidRPr="00695919">
        <w:rPr>
          <w:rFonts w:ascii="Times New Arabic" w:hAnsi="Times New Arabic" w:cstheme="majorBidi"/>
          <w:sz w:val="24"/>
          <w:szCs w:val="24"/>
        </w:rPr>
        <w:t xml:space="preserve"> sehingga tidak mengambil keuntungan lebih dari hak semestinya dan tidak merugikan orang lain. Prinsip ini juga menjamin keadilan bagi subjek hukum sehingga dapat memperoleh hak dan kewajiban dengan semestinya. </w:t>
      </w:r>
    </w:p>
    <w:p w:rsidR="000F3058" w:rsidRPr="00695919" w:rsidRDefault="000F3058" w:rsidP="00E77617">
      <w:pPr>
        <w:pStyle w:val="ListParagraph"/>
        <w:spacing w:line="276" w:lineRule="auto"/>
        <w:ind w:left="284" w:firstLine="436"/>
        <w:jc w:val="both"/>
        <w:rPr>
          <w:rFonts w:ascii="Times New Arabic" w:hAnsi="Times New Arabic" w:cstheme="majorBidi"/>
          <w:sz w:val="24"/>
          <w:szCs w:val="24"/>
        </w:rPr>
      </w:pPr>
      <w:r w:rsidRPr="00695919">
        <w:rPr>
          <w:rFonts w:ascii="Times New Arabic" w:hAnsi="Times New Arabic" w:cstheme="majorBidi"/>
          <w:sz w:val="24"/>
          <w:szCs w:val="24"/>
        </w:rPr>
        <w:t>Relasi antara pengusaha dengan pekerja memang timpang, oleh sebab itu hadirnya hukum sangat penting dalam mencapai suatu tujuan yang salah satunya adalah keadilan bagi pekerja.</w:t>
      </w:r>
      <w:r w:rsidRPr="00695919">
        <w:rPr>
          <w:rStyle w:val="FootnoteReference"/>
          <w:rFonts w:ascii="Times New Arabic" w:hAnsi="Times New Arabic" w:cstheme="majorBidi"/>
          <w:sz w:val="24"/>
          <w:szCs w:val="24"/>
        </w:rPr>
        <w:footnoteReference w:id="57"/>
      </w:r>
      <w:r w:rsidRPr="00695919">
        <w:rPr>
          <w:rFonts w:ascii="Times New Arabic" w:hAnsi="Times New Arabic" w:cstheme="majorBidi"/>
          <w:sz w:val="24"/>
          <w:szCs w:val="24"/>
        </w:rPr>
        <w:t xml:space="preserve"> Sejalan dengan ini, dalam teori negara kesejahteraan Kranenburg juga berpandangan bahwa negara bukan sekedar memelihara ketertiban hukum, melainkan juga berperan aktif dalam mengupayakan </w:t>
      </w:r>
      <w:r w:rsidRPr="00695919">
        <w:rPr>
          <w:rFonts w:ascii="Times New Arabic" w:hAnsi="Times New Arabic" w:cstheme="majorBidi"/>
          <w:sz w:val="24"/>
          <w:szCs w:val="24"/>
        </w:rPr>
        <w:lastRenderedPageBreak/>
        <w:t>terwujudnya kesejahteraan bagi warganya dan untuk mewujudkan hal tersebut tentunya harus dilandasi oleh keadilan secara merata dan seimbang.</w:t>
      </w:r>
      <w:r w:rsidRPr="00695919">
        <w:rPr>
          <w:rStyle w:val="FootnoteReference"/>
          <w:rFonts w:ascii="Times New Arabic" w:hAnsi="Times New Arabic" w:cstheme="majorBidi"/>
          <w:sz w:val="24"/>
          <w:szCs w:val="24"/>
        </w:rPr>
        <w:footnoteReference w:id="58"/>
      </w:r>
      <w:r w:rsidRPr="00695919">
        <w:rPr>
          <w:rFonts w:ascii="Times New Arabic" w:hAnsi="Times New Arabic" w:cstheme="majorBidi"/>
          <w:sz w:val="24"/>
          <w:szCs w:val="24"/>
        </w:rPr>
        <w:t xml:space="preserve"> Salah satu upaya untuk mencapai masyarakat sejahtera adalah adanya jaminan kesejahteraan, keadilan, merata baik segi materiil maupun spiritual, dan perlakukan tanpa adanya diskriminasi.</w:t>
      </w:r>
      <w:r w:rsidRPr="00695919">
        <w:rPr>
          <w:rStyle w:val="FootnoteReference"/>
          <w:rFonts w:ascii="Times New Arabic" w:hAnsi="Times New Arabic" w:cstheme="majorBidi"/>
          <w:sz w:val="24"/>
          <w:szCs w:val="24"/>
        </w:rPr>
        <w:footnoteReference w:id="59"/>
      </w:r>
    </w:p>
    <w:p w:rsidR="000F3058" w:rsidRPr="00695919" w:rsidRDefault="000F3058" w:rsidP="00E77617">
      <w:pPr>
        <w:pStyle w:val="ListParagraph"/>
        <w:spacing w:line="276" w:lineRule="auto"/>
        <w:ind w:left="284" w:firstLine="436"/>
        <w:jc w:val="both"/>
        <w:rPr>
          <w:rFonts w:ascii="Times New Arabic" w:hAnsi="Times New Arabic" w:cstheme="majorBidi"/>
          <w:sz w:val="24"/>
          <w:szCs w:val="24"/>
        </w:rPr>
      </w:pPr>
      <w:r w:rsidRPr="00695919">
        <w:rPr>
          <w:rFonts w:ascii="Times New Arabic" w:hAnsi="Times New Arabic" w:cstheme="majorBidi"/>
          <w:sz w:val="24"/>
          <w:szCs w:val="24"/>
        </w:rPr>
        <w:t>Prinsip resiprositas juga menghendaki perlakuan tanpa diskriminasi (non diskriminasi). Arti dari non diskriminasi yaitu menghargai persamaan derajat dengan tidak membeda-bedakan, baik para pihak, atas dasar agama, ras, etnis, suku bangsa, warna kulit, statu</w:t>
      </w:r>
      <w:r w:rsidR="006A7C6D" w:rsidRPr="00695919">
        <w:rPr>
          <w:rFonts w:ascii="Times New Arabic" w:hAnsi="Times New Arabic" w:cstheme="majorBidi"/>
          <w:sz w:val="24"/>
          <w:szCs w:val="24"/>
        </w:rPr>
        <w:t>s sosial, afilisai atau ideologi</w:t>
      </w:r>
      <w:r w:rsidRPr="00695919">
        <w:rPr>
          <w:rFonts w:ascii="Times New Arabic" w:hAnsi="Times New Arabic" w:cstheme="majorBidi"/>
          <w:sz w:val="24"/>
          <w:szCs w:val="24"/>
        </w:rPr>
        <w:t xml:space="preserve"> dan lain sebagiannya.</w:t>
      </w:r>
      <w:r w:rsidRPr="00695919">
        <w:rPr>
          <w:rStyle w:val="FootnoteReference"/>
          <w:rFonts w:ascii="Times New Arabic" w:hAnsi="Times New Arabic" w:cstheme="majorBidi"/>
          <w:sz w:val="24"/>
          <w:szCs w:val="24"/>
        </w:rPr>
        <w:footnoteReference w:id="60"/>
      </w:r>
      <w:r w:rsidRPr="00695919">
        <w:rPr>
          <w:rFonts w:ascii="Times New Arabic" w:hAnsi="Times New Arabic" w:cstheme="majorBidi"/>
          <w:sz w:val="24"/>
          <w:szCs w:val="24"/>
        </w:rPr>
        <w:t xml:space="preserve"> Dalam Pasal 1 Ayat (3) U</w:t>
      </w:r>
      <w:r w:rsidRPr="00695919">
        <w:rPr>
          <w:rFonts w:ascii="Times New Arabic" w:hAnsi="Times New Arabic" w:cstheme="majorBidi"/>
          <w:sz w:val="24"/>
          <w:szCs w:val="24"/>
          <w:lang w:val="id-ID"/>
        </w:rPr>
        <w:t>ndang-Undang</w:t>
      </w:r>
      <w:r w:rsidRPr="00695919">
        <w:rPr>
          <w:rFonts w:ascii="Times New Arabic" w:hAnsi="Times New Arabic" w:cstheme="majorBidi"/>
          <w:sz w:val="24"/>
          <w:szCs w:val="24"/>
        </w:rPr>
        <w:t xml:space="preserve"> HAM dijelaskan bahwa diskriminasi adalah </w:t>
      </w:r>
      <w:r w:rsidRPr="00695919">
        <w:rPr>
          <w:rFonts w:ascii="Times New Arabic" w:hAnsi="Times New Arabic" w:cs="Times New Roman"/>
          <w:sz w:val="24"/>
          <w:szCs w:val="24"/>
          <w:shd w:val="clear" w:color="auto" w:fill="FFFFFF"/>
        </w:rPr>
        <w:t>setiap  pembatasan,  pelecehan  atau  pengucilan  yang lansung ataupun tidak langsung  didasarkan pada pembedaan manusia  atas dasar agama, suku, ras, etnik, kelompok, golongan, status sosial, status ekonomi, jenis kelamin, bahasa, keyakinan   politik   yang   berakibat   pengurangan,   penyimpangan   atau   penghapusan pengakuan, pelaksanaan atau penggunaan hak azazi manusia dan kebebasan dasar dalam kehidupan baik  individual  maupun  kolektif  dalam  bidang  politik,  ekonomi,  hukum, sosial, budaya dan aspek kehidupan lainnya.</w:t>
      </w:r>
      <w:r w:rsidRPr="00695919">
        <w:rPr>
          <w:rStyle w:val="FootnoteReference"/>
          <w:rFonts w:ascii="Times New Arabic" w:hAnsi="Times New Arabic" w:cs="Times New Roman"/>
          <w:sz w:val="24"/>
          <w:szCs w:val="24"/>
          <w:shd w:val="clear" w:color="auto" w:fill="FFFFFF"/>
        </w:rPr>
        <w:footnoteReference w:id="61"/>
      </w:r>
      <w:r w:rsidRPr="00695919">
        <w:rPr>
          <w:rFonts w:ascii="Times New Arabic" w:hAnsi="Times New Arabic" w:cs="Arial"/>
          <w:sz w:val="24"/>
          <w:szCs w:val="24"/>
          <w:shd w:val="clear" w:color="auto" w:fill="FFFFFF"/>
        </w:rPr>
        <w:t xml:space="preserve"> </w:t>
      </w:r>
    </w:p>
    <w:p w:rsidR="000F3058" w:rsidRPr="00695919" w:rsidRDefault="000F3058" w:rsidP="00E77617">
      <w:pPr>
        <w:pStyle w:val="ListParagraph"/>
        <w:spacing w:line="276" w:lineRule="auto"/>
        <w:ind w:left="284" w:firstLine="436"/>
        <w:jc w:val="both"/>
        <w:rPr>
          <w:rFonts w:ascii="Times New Arabic" w:hAnsi="Times New Arabic" w:cstheme="majorBidi"/>
          <w:sz w:val="24"/>
          <w:szCs w:val="24"/>
        </w:rPr>
      </w:pPr>
      <w:r w:rsidRPr="00695919">
        <w:rPr>
          <w:rFonts w:ascii="Times New Arabic" w:hAnsi="Times New Arabic" w:cstheme="majorBidi"/>
          <w:sz w:val="24"/>
          <w:szCs w:val="24"/>
        </w:rPr>
        <w:t>Prinsip non diskriminasi juga diamanatkan di dalam U</w:t>
      </w:r>
      <w:r w:rsidRPr="00695919">
        <w:rPr>
          <w:rFonts w:ascii="Times New Arabic" w:hAnsi="Times New Arabic" w:cstheme="majorBidi"/>
          <w:sz w:val="24"/>
          <w:szCs w:val="24"/>
          <w:lang w:val="id-ID"/>
        </w:rPr>
        <w:t>ndang-Undang</w:t>
      </w:r>
      <w:r w:rsidRPr="00695919">
        <w:rPr>
          <w:rFonts w:ascii="Times New Arabic" w:hAnsi="Times New Arabic" w:cstheme="majorBidi"/>
          <w:sz w:val="24"/>
          <w:szCs w:val="24"/>
        </w:rPr>
        <w:t xml:space="preserve"> Ketenagakerjaan yang termaktub di bagian menimbang huruf d U</w:t>
      </w:r>
      <w:r w:rsidRPr="00695919">
        <w:rPr>
          <w:rFonts w:ascii="Times New Arabic" w:hAnsi="Times New Arabic" w:cstheme="majorBidi"/>
          <w:sz w:val="24"/>
          <w:szCs w:val="24"/>
          <w:lang w:val="id-ID"/>
        </w:rPr>
        <w:t>ndang-Undang</w:t>
      </w:r>
      <w:r w:rsidRPr="00695919">
        <w:rPr>
          <w:rFonts w:ascii="Times New Arabic" w:hAnsi="Times New Arabic" w:cstheme="majorBidi"/>
          <w:sz w:val="24"/>
          <w:szCs w:val="24"/>
        </w:rPr>
        <w:t xml:space="preserve"> Ketenagakerjaan bahwa perlindungan tenaga kerja bertujuan untuk menjamin hak dasar, kesamaan kesempatan serta perlakuan tanpa diskriminasi atas dasar apapun demi mewujudkan kesejahteraan pekerja dan keluarganya. Dalam Pasal 5 dan 6 U</w:t>
      </w:r>
      <w:r w:rsidRPr="00695919">
        <w:rPr>
          <w:rFonts w:ascii="Times New Arabic" w:hAnsi="Times New Arabic" w:cstheme="majorBidi"/>
          <w:sz w:val="24"/>
          <w:szCs w:val="24"/>
          <w:lang w:val="id-ID"/>
        </w:rPr>
        <w:t>ndang-Undang</w:t>
      </w:r>
      <w:r w:rsidRPr="00695919">
        <w:rPr>
          <w:rFonts w:ascii="Times New Arabic" w:hAnsi="Times New Arabic" w:cstheme="majorBidi"/>
          <w:sz w:val="24"/>
          <w:szCs w:val="24"/>
        </w:rPr>
        <w:t xml:space="preserve"> Ketenagakerjaan juga menyebutkan bahwa Setiap tenaga kerja memiliki kesempatan yang </w:t>
      </w:r>
      <w:proofErr w:type="gramStart"/>
      <w:r w:rsidRPr="00695919">
        <w:rPr>
          <w:rFonts w:ascii="Times New Arabic" w:hAnsi="Times New Arabic" w:cstheme="majorBidi"/>
          <w:sz w:val="24"/>
          <w:szCs w:val="24"/>
        </w:rPr>
        <w:t>sama</w:t>
      </w:r>
      <w:proofErr w:type="gramEnd"/>
      <w:r w:rsidRPr="00695919">
        <w:rPr>
          <w:rFonts w:ascii="Times New Arabic" w:hAnsi="Times New Arabic" w:cstheme="majorBidi"/>
          <w:sz w:val="24"/>
          <w:szCs w:val="24"/>
        </w:rPr>
        <w:t xml:space="preserve"> tanpa diskriminasi untuk memperoleh pekerjaan. Setiap pekerja/buruh berhak memperoleh perlakuan yang </w:t>
      </w:r>
      <w:proofErr w:type="gramStart"/>
      <w:r w:rsidRPr="00695919">
        <w:rPr>
          <w:rFonts w:ascii="Times New Arabic" w:hAnsi="Times New Arabic" w:cstheme="majorBidi"/>
          <w:sz w:val="24"/>
          <w:szCs w:val="24"/>
        </w:rPr>
        <w:t>sama</w:t>
      </w:r>
      <w:proofErr w:type="gramEnd"/>
      <w:r w:rsidRPr="00695919">
        <w:rPr>
          <w:rFonts w:ascii="Times New Arabic" w:hAnsi="Times New Arabic" w:cstheme="majorBidi"/>
          <w:sz w:val="24"/>
          <w:szCs w:val="24"/>
        </w:rPr>
        <w:t xml:space="preserve"> tanpa diskriminasi dari pengusaha</w:t>
      </w:r>
      <w:r w:rsidRPr="00695919">
        <w:rPr>
          <w:rFonts w:ascii="Times New Arabic" w:hAnsi="Times New Arabic"/>
        </w:rPr>
        <w:t>.</w:t>
      </w:r>
    </w:p>
    <w:p w:rsidR="000F3058" w:rsidRPr="00695919" w:rsidRDefault="000F3058" w:rsidP="00E77617">
      <w:pPr>
        <w:pStyle w:val="ListParagraph"/>
        <w:spacing w:line="276" w:lineRule="auto"/>
        <w:ind w:left="284" w:firstLine="436"/>
        <w:jc w:val="both"/>
        <w:rPr>
          <w:rFonts w:ascii="Times New Arabic" w:hAnsi="Times New Arabic" w:cstheme="majorBidi"/>
          <w:sz w:val="24"/>
          <w:szCs w:val="24"/>
        </w:rPr>
      </w:pPr>
      <w:r w:rsidRPr="00695919">
        <w:rPr>
          <w:rFonts w:ascii="Times New Arabic" w:hAnsi="Times New Arabic" w:cstheme="majorBidi"/>
          <w:sz w:val="24"/>
          <w:szCs w:val="24"/>
        </w:rPr>
        <w:t xml:space="preserve">Non diskriminasi berikut peluang dan perlakuan yang </w:t>
      </w:r>
      <w:proofErr w:type="gramStart"/>
      <w:r w:rsidRPr="00695919">
        <w:rPr>
          <w:rFonts w:ascii="Times New Arabic" w:hAnsi="Times New Arabic" w:cstheme="majorBidi"/>
          <w:sz w:val="24"/>
          <w:szCs w:val="24"/>
        </w:rPr>
        <w:t>sama</w:t>
      </w:r>
      <w:proofErr w:type="gramEnd"/>
      <w:r w:rsidRPr="00695919">
        <w:rPr>
          <w:rFonts w:ascii="Times New Arabic" w:hAnsi="Times New Arabic" w:cstheme="majorBidi"/>
          <w:sz w:val="24"/>
          <w:szCs w:val="24"/>
        </w:rPr>
        <w:t xml:space="preserve"> dalam ketenagakerjaan merupakan hak yang bersifat fundamental bagi terwujudnya keadilan sosial serta pembanguna ekonomi. Prinsip non diskriminasi dan perlakuan yang </w:t>
      </w:r>
      <w:proofErr w:type="gramStart"/>
      <w:r w:rsidRPr="00695919">
        <w:rPr>
          <w:rFonts w:ascii="Times New Arabic" w:hAnsi="Times New Arabic" w:cstheme="majorBidi"/>
          <w:sz w:val="24"/>
          <w:szCs w:val="24"/>
        </w:rPr>
        <w:t>sama</w:t>
      </w:r>
      <w:proofErr w:type="gramEnd"/>
      <w:r w:rsidRPr="00695919">
        <w:rPr>
          <w:rFonts w:ascii="Times New Arabic" w:hAnsi="Times New Arabic" w:cstheme="majorBidi"/>
          <w:sz w:val="24"/>
          <w:szCs w:val="24"/>
        </w:rPr>
        <w:t xml:space="preserve"> bagi pekerja memungkinkan orang dari segala jenis ras, agama, jenis kelamin, etnis, status kesehatan, dan lain sebagiannya untuk melakukan cara </w:t>
      </w:r>
      <w:r w:rsidRPr="00695919">
        <w:rPr>
          <w:rFonts w:ascii="Times New Arabic" w:hAnsi="Times New Arabic" w:cstheme="majorBidi"/>
          <w:sz w:val="24"/>
          <w:szCs w:val="24"/>
        </w:rPr>
        <w:lastRenderedPageBreak/>
        <w:t>mereka agara keluar dari kemiskinan dan menghidupi keluarganya. Pada dasarnya prinsip ini dimaksudkan untuk menjunjung harkat dan martabat manusia untuk mewujudkan keadilan sosial dan ekonominya.</w:t>
      </w:r>
      <w:r w:rsidRPr="00695919">
        <w:rPr>
          <w:rStyle w:val="FootnoteReference"/>
          <w:rFonts w:ascii="Times New Arabic" w:hAnsi="Times New Arabic" w:cstheme="majorBidi"/>
          <w:sz w:val="24"/>
          <w:szCs w:val="24"/>
        </w:rPr>
        <w:footnoteReference w:id="62"/>
      </w:r>
      <w:r w:rsidRPr="00695919">
        <w:rPr>
          <w:rFonts w:ascii="Times New Arabic" w:hAnsi="Times New Arabic" w:cstheme="majorBidi"/>
          <w:sz w:val="24"/>
          <w:szCs w:val="24"/>
        </w:rPr>
        <w:t xml:space="preserve"> </w:t>
      </w:r>
    </w:p>
    <w:p w:rsidR="000F3058" w:rsidRPr="00695919" w:rsidRDefault="000F3058" w:rsidP="00E77617">
      <w:pPr>
        <w:pStyle w:val="ListParagraph"/>
        <w:spacing w:line="276" w:lineRule="auto"/>
        <w:ind w:left="284" w:firstLine="436"/>
        <w:jc w:val="both"/>
        <w:rPr>
          <w:rFonts w:ascii="Times New Arabic" w:hAnsi="Times New Arabic" w:cstheme="majorBidi"/>
          <w:sz w:val="24"/>
          <w:szCs w:val="24"/>
        </w:rPr>
      </w:pPr>
      <w:r w:rsidRPr="00695919">
        <w:rPr>
          <w:rFonts w:ascii="Times New Arabic" w:hAnsi="Times New Arabic" w:cstheme="majorBidi"/>
          <w:sz w:val="24"/>
          <w:szCs w:val="24"/>
        </w:rPr>
        <w:t xml:space="preserve">Pandangan </w:t>
      </w:r>
      <w:r w:rsidRPr="00695919">
        <w:rPr>
          <w:rFonts w:ascii="Times New Arabic" w:hAnsi="Times New Arabic" w:cstheme="majorBidi"/>
          <w:sz w:val="24"/>
          <w:szCs w:val="24"/>
          <w:lang w:val="id-ID"/>
        </w:rPr>
        <w:t>a</w:t>
      </w:r>
      <w:r w:rsidRPr="00695919">
        <w:rPr>
          <w:rFonts w:ascii="Times New Arabic" w:hAnsi="Times New Arabic" w:cstheme="majorBidi"/>
          <w:sz w:val="24"/>
          <w:szCs w:val="24"/>
        </w:rPr>
        <w:t>n-Na’im mengenai HAM ini agaknya relevan dengan konteks perlindungan hukum ketengakerjaan. Hukum ketenagakerjaan hadir karena menghendaki terwujudnya relasi perjanjian kerja yang seimbang antara pengusaha dan pekerja dalam kegiatan produksi barang dan/atau jasa, yang mencerminkan serta mengandung nilai kepastian hukum, nilai manfaat, dan nilai keadilan.</w:t>
      </w:r>
      <w:r w:rsidRPr="00695919">
        <w:rPr>
          <w:rStyle w:val="FootnoteReference"/>
          <w:rFonts w:ascii="Times New Arabic" w:hAnsi="Times New Arabic" w:cstheme="majorBidi"/>
          <w:sz w:val="24"/>
          <w:szCs w:val="24"/>
        </w:rPr>
        <w:footnoteReference w:id="63"/>
      </w:r>
      <w:r w:rsidRPr="00695919">
        <w:rPr>
          <w:rFonts w:ascii="Times New Arabic" w:hAnsi="Times New Arabic" w:cstheme="majorBidi"/>
          <w:sz w:val="24"/>
          <w:szCs w:val="24"/>
        </w:rPr>
        <w:t xml:space="preserve"> Dalam prinisip resiprositas, hubungan pengusaha dalam memperlakukan pekerja perlu menimbang bagaiamana </w:t>
      </w:r>
      <w:proofErr w:type="gramStart"/>
      <w:r w:rsidRPr="00695919">
        <w:rPr>
          <w:rFonts w:ascii="Times New Arabic" w:hAnsi="Times New Arabic" w:cstheme="majorBidi"/>
          <w:sz w:val="24"/>
          <w:szCs w:val="24"/>
        </w:rPr>
        <w:t>ia</w:t>
      </w:r>
      <w:proofErr w:type="gramEnd"/>
      <w:r w:rsidRPr="00695919">
        <w:rPr>
          <w:rFonts w:ascii="Times New Arabic" w:hAnsi="Times New Arabic" w:cstheme="majorBidi"/>
          <w:sz w:val="24"/>
          <w:szCs w:val="24"/>
        </w:rPr>
        <w:t xml:space="preserve"> dapat memperlakukan secara adil layaknya harapannya diperlakukan oleh orang lain dan tentunya tidak mendapatkan perlakuan diskriminatif. Sejalan dengan ini bahwa dengan prinsip resiprositas ini juga dapat menunjang adanya pemenuhan hak penghidupan yang layak bagi pekerja. Pada posisi ini dapat dipahami bahwa untuk mewujdukan adanya pemenuhan hak bagi pekerja dan menekan kemungkinan tindakan sewenang-wenang oleh pengusaha terhadap pekerja diperlukan adanya pendekatan positivsime melalui pembentukan regulai.</w:t>
      </w:r>
      <w:r w:rsidRPr="00695919">
        <w:rPr>
          <w:rStyle w:val="FootnoteReference"/>
          <w:rFonts w:ascii="Times New Arabic" w:hAnsi="Times New Arabic" w:cstheme="majorBidi"/>
          <w:sz w:val="24"/>
          <w:szCs w:val="24"/>
        </w:rPr>
        <w:footnoteReference w:id="64"/>
      </w:r>
      <w:r w:rsidRPr="00695919">
        <w:rPr>
          <w:rFonts w:ascii="Times New Arabic" w:hAnsi="Times New Arabic" w:cstheme="majorBidi"/>
          <w:sz w:val="24"/>
          <w:szCs w:val="24"/>
        </w:rPr>
        <w:t xml:space="preserve"> </w:t>
      </w:r>
    </w:p>
    <w:p w:rsidR="000F3058" w:rsidRPr="00695919" w:rsidRDefault="000F3058" w:rsidP="00E77617">
      <w:pPr>
        <w:pStyle w:val="ListParagraph"/>
        <w:spacing w:line="276" w:lineRule="auto"/>
        <w:ind w:left="284" w:firstLine="436"/>
        <w:jc w:val="both"/>
        <w:rPr>
          <w:rFonts w:ascii="Times New Arabic" w:hAnsi="Times New Arabic" w:cstheme="majorBidi"/>
          <w:sz w:val="24"/>
          <w:szCs w:val="24"/>
        </w:rPr>
      </w:pPr>
      <w:r w:rsidRPr="00695919">
        <w:rPr>
          <w:rFonts w:ascii="Times New Arabic" w:hAnsi="Times New Arabic" w:cstheme="majorBidi"/>
          <w:sz w:val="24"/>
          <w:szCs w:val="24"/>
        </w:rPr>
        <w:t xml:space="preserve">Namun, saat ini regulasi hukum ketenagakerjaan yang secara khusus mengatur soal PKWT masih didapati regulasi yang tidak mencerminkan prinsip resiprositas. </w:t>
      </w:r>
      <w:r w:rsidRPr="00695919">
        <w:rPr>
          <w:rFonts w:ascii="Times New Arabic" w:hAnsi="Times New Arabic" w:cstheme="majorBidi"/>
          <w:i/>
          <w:iCs/>
          <w:sz w:val="24"/>
          <w:szCs w:val="24"/>
        </w:rPr>
        <w:t>Pertama</w:t>
      </w:r>
      <w:r w:rsidRPr="00695919">
        <w:rPr>
          <w:rFonts w:ascii="Times New Arabic" w:hAnsi="Times New Arabic" w:cstheme="majorBidi"/>
          <w:sz w:val="24"/>
          <w:szCs w:val="24"/>
        </w:rPr>
        <w:t>, regulasi mengenai batasan waktu yang tidak ditentukan dalam perjanjian PKWT berdasarkan selesainya suatu pekerjaan membuat pengusaha dapat secara mudah untuk melakukan perjanjian kerja dengan pekerja tanpa adanya kewajiban mengalihkan statusnya sebagai pekerja tetap sehingga menutup hak-hak yang semestinya didapatkan untuk menunjang kesejahteraan dan kehidupan yang layak. Aturan ini juga memungkinkan pengusaha melakukan eksploitasi tenaga pekerja tanpa adanya jaminan sosial dan ekonomi, karena tidak adanya batasan maksimal perjanjian PKWT serta tidak memberikan jaminan pengalihan status pekerja menjadi pekerja tetap.</w:t>
      </w:r>
    </w:p>
    <w:p w:rsidR="000F3058" w:rsidRPr="00695919" w:rsidRDefault="000F3058" w:rsidP="00E77617">
      <w:pPr>
        <w:pStyle w:val="ListParagraph"/>
        <w:spacing w:line="276" w:lineRule="auto"/>
        <w:ind w:left="284" w:firstLine="436"/>
        <w:jc w:val="both"/>
        <w:rPr>
          <w:rFonts w:ascii="Times New Arabic" w:hAnsi="Times New Arabic" w:cstheme="majorBidi"/>
          <w:sz w:val="24"/>
          <w:szCs w:val="24"/>
        </w:rPr>
      </w:pPr>
      <w:r w:rsidRPr="00695919">
        <w:rPr>
          <w:rFonts w:ascii="Times New Arabic" w:hAnsi="Times New Arabic" w:cstheme="majorBidi"/>
          <w:i/>
          <w:iCs/>
          <w:sz w:val="24"/>
          <w:szCs w:val="24"/>
        </w:rPr>
        <w:t>Kedua</w:t>
      </w:r>
      <w:r w:rsidRPr="00695919">
        <w:rPr>
          <w:rFonts w:ascii="Times New Arabic" w:hAnsi="Times New Arabic" w:cstheme="majorBidi"/>
          <w:sz w:val="24"/>
          <w:szCs w:val="24"/>
        </w:rPr>
        <w:t xml:space="preserve">, tidak adanya konsekuensi hukum apabila perjanjan PKWT dibuat secara tidak tertulis, memungkinkan pengusaha membuat perjanjian dengan </w:t>
      </w:r>
      <w:r w:rsidRPr="00695919">
        <w:rPr>
          <w:rFonts w:ascii="Times New Arabic" w:hAnsi="Times New Arabic" w:cstheme="majorBidi"/>
          <w:sz w:val="24"/>
          <w:szCs w:val="24"/>
        </w:rPr>
        <w:lastRenderedPageBreak/>
        <w:t xml:space="preserve">pekerja dengan ketentuan yang didominasi oleh pengusaha, sehingga hubungan kerja antara pengusaha dengan pekerja timpang dan tentunya tidak ada kepastian hukum yang jelas untuk pemenuhan hak-hak pekerja. Penghapusan konsekuensi hukum konsekuensi hukum apabila perjanjan PKWT dibuat secara tidak tertulis dapat memungkinkan terjadinya perlakuan diskriminatif terhadap pekerja dan tentunya tidak ada jamnian pengalihan status pekerja menjadi pekerja tetap yang pada akhirnya tidak dipenuhinya hak-hak dasar pekerja seperti hak ekonomi berupa uang pesangon. Dengan adanya penghapusan ketentuan ini, maka kebijakan soal perjanjian PKWT belum sepenuhnya mencerminkan perlindungan hukum atas pemenuhan hak bagi pekerja. </w:t>
      </w:r>
    </w:p>
    <w:p w:rsidR="00087EB8" w:rsidRPr="00695919" w:rsidRDefault="006A7C6D" w:rsidP="00E77617">
      <w:pPr>
        <w:spacing w:line="276" w:lineRule="auto"/>
        <w:jc w:val="both"/>
        <w:rPr>
          <w:rFonts w:ascii="Times New Arabic" w:hAnsi="Times New Arabic" w:cstheme="majorBidi"/>
          <w:b/>
          <w:bCs/>
          <w:color w:val="000000" w:themeColor="text1"/>
          <w:szCs w:val="24"/>
        </w:rPr>
      </w:pPr>
      <w:r w:rsidRPr="00695919">
        <w:rPr>
          <w:rFonts w:ascii="Times New Arabic" w:hAnsi="Times New Arabic" w:cstheme="majorBidi"/>
          <w:b/>
          <w:bCs/>
          <w:color w:val="000000" w:themeColor="text1"/>
          <w:szCs w:val="24"/>
        </w:rPr>
        <w:t>KESIMPULAN</w:t>
      </w:r>
    </w:p>
    <w:p w:rsidR="0025258C" w:rsidRPr="00695919" w:rsidRDefault="000F3058" w:rsidP="002A7993">
      <w:pPr>
        <w:spacing w:line="276" w:lineRule="auto"/>
        <w:ind w:firstLine="720"/>
        <w:jc w:val="both"/>
        <w:rPr>
          <w:rFonts w:ascii="Times New Arabic" w:hAnsi="Times New Arabic" w:cs="Times New Roman"/>
          <w:szCs w:val="24"/>
        </w:rPr>
      </w:pPr>
      <w:r w:rsidRPr="00695919">
        <w:rPr>
          <w:rFonts w:ascii="Times New Arabic" w:hAnsi="Times New Arabic" w:cstheme="majorBidi"/>
          <w:szCs w:val="24"/>
        </w:rPr>
        <w:t>Perlindungan hukum merupakan unsur ensinsial bagi pekerja untuk menghindari tindakan yang sewenang-wenang dari pengusaha mengingat posisi pekerja dalam ekonomi memiliki kedudukan yang lebih rendah ditimbang pengusaha.</w:t>
      </w:r>
      <w:r w:rsidR="0025258C" w:rsidRPr="00695919">
        <w:rPr>
          <w:rFonts w:ascii="Times New Arabic" w:hAnsi="Times New Arabic" w:cstheme="majorBidi"/>
          <w:szCs w:val="24"/>
        </w:rPr>
        <w:t xml:space="preserve"> Hadirnya kebijakan hukum ketenagakerjaan merupakan bentuk intervensi pemerintah untuk menekan terjadinya tindakan diskriminatif dari pengusaha terhadap pekerja sehingga dapat menghendaki adanya kesetaraan. Dalam perjanjian kerja PKWT yang diatur dalam Undang-Undang Cipta Kerja</w:t>
      </w:r>
      <w:r w:rsidR="0025258C" w:rsidRPr="00695919">
        <w:rPr>
          <w:rFonts w:ascii="Times New Arabic" w:hAnsi="Times New Arabic" w:cstheme="majorBidi"/>
          <w:szCs w:val="24"/>
          <w:lang w:val="id-ID"/>
        </w:rPr>
        <w:t xml:space="preserve"> </w:t>
      </w:r>
      <w:r w:rsidR="0025258C" w:rsidRPr="00695919">
        <w:rPr>
          <w:rFonts w:ascii="Times New Arabic" w:hAnsi="Times New Arabic" w:cstheme="majorBidi"/>
          <w:szCs w:val="24"/>
        </w:rPr>
        <w:t xml:space="preserve">beserta aturan tururannya yaitu Peraturan Pemerintah Nomor 35 Tahun 2021 tentang </w:t>
      </w:r>
      <w:r w:rsidR="0025258C" w:rsidRPr="00695919">
        <w:rPr>
          <w:rFonts w:ascii="Times New Arabic" w:hAnsi="Times New Arabic"/>
          <w:color w:val="202124"/>
          <w:shd w:val="clear" w:color="auto" w:fill="FFFFFF"/>
        </w:rPr>
        <w:t> </w:t>
      </w:r>
      <w:r w:rsidR="0025258C" w:rsidRPr="00695919">
        <w:rPr>
          <w:rFonts w:ascii="Times New Arabic" w:hAnsi="Times New Arabic" w:cstheme="majorBidi"/>
          <w:szCs w:val="24"/>
        </w:rPr>
        <w:t xml:space="preserve">Perjanjian Kerja Waktu Tertentu, Alih Daya, Waktu Kerja dan Waktu Istirahat, dan Pemutusan Hubungan Kerja didapati aturan baru yang berupa jangka waktu PKWT, penambahan jenis pekerjaan, perpanjangan </w:t>
      </w:r>
      <w:r w:rsidR="0025258C" w:rsidRPr="00695919">
        <w:rPr>
          <w:rFonts w:ascii="Times New Arabic" w:hAnsi="Times New Arabic" w:cs="Times New Roman"/>
          <w:szCs w:val="24"/>
        </w:rPr>
        <w:t xml:space="preserve">serta pembaruan PKWT, penambahan uang kompensasi. Namun, dalam aturan baru tersebut terdapat ketentuan yang belum mencerminkan perlindungan hukum terhadap pekerja yaitu mengenai perjanjian PKWT berdasarkan suatu pekerjaan tertentu yang tidak memberikan batas maksimal perjanjian tersebut dilaksanakan serta penghapusan konsekuensi hukum apabila PKWT dibuat secara tidak tertulis. </w:t>
      </w:r>
    </w:p>
    <w:p w:rsidR="0025258C" w:rsidRPr="00695919" w:rsidRDefault="0025258C" w:rsidP="00E77617">
      <w:pPr>
        <w:spacing w:line="276" w:lineRule="auto"/>
        <w:ind w:firstLine="720"/>
        <w:jc w:val="both"/>
        <w:rPr>
          <w:rFonts w:ascii="Times New Arabic" w:hAnsi="Times New Arabic" w:cs="Times New Roman"/>
          <w:szCs w:val="24"/>
        </w:rPr>
      </w:pPr>
      <w:r w:rsidRPr="00695919">
        <w:rPr>
          <w:rFonts w:ascii="Times New Arabic" w:hAnsi="Times New Arabic" w:cstheme="majorBidi"/>
          <w:szCs w:val="24"/>
        </w:rPr>
        <w:t xml:space="preserve">Tidak adanya ketentuan batasan maksimal perjanjian PKWT berdasarkan selesainya sutau pekerjaan dapat berpotensi perjanjian kerja tersebut dapat dijalankan secara terus menerus tanpa adanya pengalihan status menjadi PKWTT. Alhasil ketentuan tersebut secara langsung menghalangi hak-hak dasar pekerja PKWT untuk mendapatkan jaminan ekonomi demi kesejahteraan dan penghidupan layak bagi dirinya dan keluarganya. Begitupun penghapusan konsekuensi apabila perjanjian PKWT dibuat secara tidak tertulis justru membuat kekosongan hukum yang menjadi celah bagi pengusaha melakukan perlakuan diskriminatif kepada pekerja dan tidak ada </w:t>
      </w:r>
      <w:r w:rsidRPr="00695919">
        <w:rPr>
          <w:rFonts w:ascii="Times New Arabic" w:hAnsi="Times New Arabic" w:cstheme="majorBidi"/>
          <w:szCs w:val="24"/>
        </w:rPr>
        <w:lastRenderedPageBreak/>
        <w:t xml:space="preserve">kepastian hukum bagi pekerja dalam mendapatkan hak-hak dasarnya. Sejalan dengan ini, Abdullahi Ahmed </w:t>
      </w:r>
      <w:r w:rsidRPr="00695919">
        <w:rPr>
          <w:rFonts w:ascii="Times New Arabic" w:hAnsi="Times New Arabic" w:cstheme="majorBidi"/>
          <w:szCs w:val="24"/>
          <w:lang w:val="id-ID"/>
        </w:rPr>
        <w:t>a</w:t>
      </w:r>
      <w:r w:rsidRPr="00695919">
        <w:rPr>
          <w:rFonts w:ascii="Times New Arabic" w:hAnsi="Times New Arabic" w:cstheme="majorBidi"/>
          <w:szCs w:val="24"/>
        </w:rPr>
        <w:t xml:space="preserve">n-Na’im menghendaki adanya perlindungan hak asasi manusia dengan bertitik pada prinsip resiprositas dan pemenuhan dan perlindungan hak untuk hidup dan bebas seperti spirit syariah tatkala diturunkan di Makkah dengan menjunjung tinggi nilai-nilai humanisme. Berdasarkan prinsip </w:t>
      </w:r>
      <w:r w:rsidRPr="00695919">
        <w:rPr>
          <w:rFonts w:ascii="Times New Arabic" w:hAnsi="Times New Arabic" w:cstheme="majorBidi"/>
          <w:szCs w:val="24"/>
          <w:lang w:val="id-ID"/>
        </w:rPr>
        <w:t>a</w:t>
      </w:r>
      <w:r w:rsidRPr="00695919">
        <w:rPr>
          <w:rFonts w:ascii="Times New Arabic" w:hAnsi="Times New Arabic" w:cstheme="majorBidi"/>
          <w:szCs w:val="24"/>
        </w:rPr>
        <w:t>n-Na’im tersebut</w:t>
      </w:r>
      <w:r w:rsidR="002A7993">
        <w:rPr>
          <w:rFonts w:ascii="Times New Arabic" w:hAnsi="Times New Arabic" w:cstheme="majorBidi"/>
          <w:szCs w:val="24"/>
        </w:rPr>
        <w:t>,</w:t>
      </w:r>
      <w:r w:rsidRPr="00695919">
        <w:rPr>
          <w:rFonts w:ascii="Times New Arabic" w:hAnsi="Times New Arabic" w:cstheme="majorBidi"/>
          <w:szCs w:val="24"/>
        </w:rPr>
        <w:t xml:space="preserve"> 2 (dua) ketentuan mengenai perjanjian kerja PKWT saat ini belum mencerminakn nilai-nilai fikih HAM menurut </w:t>
      </w:r>
      <w:r w:rsidRPr="00695919">
        <w:rPr>
          <w:rFonts w:ascii="Times New Arabic" w:hAnsi="Times New Arabic" w:cstheme="majorBidi"/>
          <w:szCs w:val="24"/>
          <w:lang w:val="id-ID"/>
        </w:rPr>
        <w:t>a</w:t>
      </w:r>
      <w:r w:rsidRPr="00695919">
        <w:rPr>
          <w:rFonts w:ascii="Times New Arabic" w:hAnsi="Times New Arabic" w:cstheme="majorBidi"/>
          <w:szCs w:val="24"/>
        </w:rPr>
        <w:t xml:space="preserve">n-Na’im. </w:t>
      </w:r>
    </w:p>
    <w:p w:rsidR="002A7993" w:rsidRPr="00392C90" w:rsidRDefault="002A7993" w:rsidP="002A7993">
      <w:pPr>
        <w:spacing w:line="276" w:lineRule="auto"/>
        <w:ind w:firstLine="720"/>
        <w:jc w:val="center"/>
        <w:rPr>
          <w:rFonts w:ascii="Times New Arabic" w:hAnsi="Times New Arabic" w:cstheme="majorBidi"/>
          <w:b/>
          <w:bCs/>
          <w:color w:val="000000" w:themeColor="text1"/>
          <w:szCs w:val="24"/>
          <w:lang w:val="en-US"/>
        </w:rPr>
      </w:pPr>
      <w:r w:rsidRPr="00695919">
        <w:rPr>
          <w:rFonts w:ascii="Times New Arabic" w:hAnsi="Times New Arabic" w:cstheme="majorBidi"/>
          <w:b/>
          <w:bCs/>
          <w:szCs w:val="24"/>
          <w:lang w:val="en-US"/>
        </w:rPr>
        <w:t>DAFTAR PUSTAKA</w:t>
      </w:r>
      <w:r w:rsidRPr="00392C90">
        <w:rPr>
          <w:rFonts w:ascii="Times New Arabic" w:hAnsi="Times New Arabic" w:cstheme="majorBidi"/>
          <w:color w:val="000000" w:themeColor="text1"/>
          <w:szCs w:val="24"/>
          <w:lang w:val="en-US"/>
        </w:rPr>
        <w:fldChar w:fldCharType="begin" w:fldLock="1"/>
      </w:r>
      <w:r w:rsidRPr="00392C90">
        <w:rPr>
          <w:rFonts w:ascii="Times New Arabic" w:hAnsi="Times New Arabic" w:cstheme="majorBidi"/>
          <w:color w:val="000000" w:themeColor="text1"/>
          <w:szCs w:val="24"/>
          <w:lang w:val="en-US"/>
        </w:rPr>
        <w:instrText xml:space="preserve">ADDIN Mendeley Bibliography CSL_BIBLIOGRAPHY </w:instrText>
      </w:r>
      <w:r w:rsidRPr="00392C90">
        <w:rPr>
          <w:rFonts w:ascii="Times New Arabic" w:hAnsi="Times New Arabic" w:cstheme="majorBidi"/>
          <w:color w:val="000000" w:themeColor="text1"/>
          <w:szCs w:val="24"/>
          <w:lang w:val="en-US"/>
        </w:rPr>
        <w:fldChar w:fldCharType="separate"/>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Agus, Dede. “Penerapan Prinsip-Prinsip Hukum Perburuhan Internasional Dalam Hukum Perburuhan Indonesia.” Airlangga, 2009. https://repository.unair.ac.id/38266/.</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An Na’im</w:t>
      </w:r>
      <w:r w:rsidRPr="00392C90">
        <w:rPr>
          <w:rFonts w:ascii="Times New Arabic" w:hAnsi="Times New Arabic" w:cstheme="majorBidi"/>
          <w:color w:val="000000" w:themeColor="text1"/>
          <w:szCs w:val="24"/>
          <w:lang w:val="en-US"/>
        </w:rPr>
        <w:t>,</w:t>
      </w:r>
      <w:r w:rsidRPr="00392C90">
        <w:rPr>
          <w:rFonts w:ascii="Times New Arabic" w:hAnsi="Times New Arabic" w:cs="Times New Roman"/>
          <w:noProof/>
          <w:color w:val="000000" w:themeColor="text1"/>
          <w:szCs w:val="24"/>
        </w:rPr>
        <w:t xml:space="preserve"> Abdullahi Ahmed. </w:t>
      </w:r>
      <w:r w:rsidRPr="00392C90">
        <w:rPr>
          <w:rFonts w:ascii="Times New Arabic" w:hAnsi="Times New Arabic" w:cs="Times New Roman"/>
          <w:i/>
          <w:iCs/>
          <w:noProof/>
          <w:color w:val="000000" w:themeColor="text1"/>
          <w:szCs w:val="24"/>
        </w:rPr>
        <w:t>Dekonstruksi Syariah I</w:t>
      </w:r>
      <w:r w:rsidRPr="00392C90">
        <w:rPr>
          <w:rFonts w:ascii="Times New Arabic" w:hAnsi="Times New Arabic" w:cs="Times New Roman"/>
          <w:noProof/>
          <w:color w:val="000000" w:themeColor="text1"/>
          <w:szCs w:val="24"/>
        </w:rPr>
        <w:t>. 4th ed. Yogyakarta: LKiS, 2004.</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 </w:t>
      </w:r>
      <w:r>
        <w:rPr>
          <w:rFonts w:ascii="Times New Arabic" w:hAnsi="Times New Arabic" w:cs="Times New Roman"/>
          <w:i/>
          <w:iCs/>
          <w:noProof/>
          <w:color w:val="000000" w:themeColor="text1"/>
          <w:szCs w:val="24"/>
        </w:rPr>
        <w:t>Islam d</w:t>
      </w:r>
      <w:bookmarkStart w:id="0" w:name="_GoBack"/>
      <w:bookmarkEnd w:id="0"/>
      <w:r w:rsidRPr="00392C90">
        <w:rPr>
          <w:rFonts w:ascii="Times New Arabic" w:hAnsi="Times New Arabic" w:cs="Times New Roman"/>
          <w:i/>
          <w:iCs/>
          <w:noProof/>
          <w:color w:val="000000" w:themeColor="text1"/>
          <w:szCs w:val="24"/>
        </w:rPr>
        <w:t>an Negara Sekuler; Menegosiasikan Masa Depan Syariah</w:t>
      </w:r>
      <w:r w:rsidRPr="00392C90">
        <w:rPr>
          <w:rFonts w:ascii="Times New Arabic" w:hAnsi="Times New Arabic" w:cs="Times New Roman"/>
          <w:noProof/>
          <w:color w:val="000000" w:themeColor="text1"/>
          <w:szCs w:val="24"/>
        </w:rPr>
        <w:t>. Bandung: Mizan, 2007.</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Aprianti, Duwi. “Perli</w:t>
      </w:r>
      <w:r>
        <w:rPr>
          <w:rFonts w:ascii="Times New Arabic" w:hAnsi="Times New Arabic" w:cs="Times New Roman"/>
          <w:noProof/>
          <w:color w:val="000000" w:themeColor="text1"/>
          <w:szCs w:val="24"/>
        </w:rPr>
        <w:t>ndungan Hukum Terhadap Pekerja dalam P</w:t>
      </w:r>
      <w:r w:rsidRPr="00392C90">
        <w:rPr>
          <w:rFonts w:ascii="Times New Arabic" w:hAnsi="Times New Arabic" w:cs="Times New Roman"/>
          <w:noProof/>
          <w:color w:val="000000" w:themeColor="text1"/>
          <w:szCs w:val="24"/>
        </w:rPr>
        <w:t xml:space="preserve">erjanjian Kerja Waktu Tertentu (PKWT).” </w:t>
      </w:r>
      <w:r w:rsidRPr="00392C90">
        <w:rPr>
          <w:rFonts w:ascii="Times New Arabic" w:hAnsi="Times New Arabic" w:cs="Times New Roman"/>
          <w:i/>
          <w:iCs/>
          <w:noProof/>
          <w:color w:val="000000" w:themeColor="text1"/>
          <w:szCs w:val="24"/>
        </w:rPr>
        <w:t>Jurnal Hukum Saraswati (JHS)</w:t>
      </w:r>
      <w:r w:rsidRPr="00392C90">
        <w:rPr>
          <w:rFonts w:ascii="Times New Arabic" w:hAnsi="Times New Arabic" w:cs="Times New Roman"/>
          <w:noProof/>
          <w:color w:val="000000" w:themeColor="text1"/>
          <w:szCs w:val="24"/>
        </w:rPr>
        <w:t xml:space="preserve"> 03, no. 01 (2021): 70–82. https://doi.org/: https://doi.org/10.36733/jhshs.v2i2.</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Arifin, Syarif. “FSBKU Bertahan Di Tengah Gempuran Sistem Kerja Kontrak.” </w:t>
      </w:r>
      <w:r w:rsidRPr="00392C90">
        <w:rPr>
          <w:rFonts w:ascii="Times New Arabic" w:hAnsi="Times New Arabic" w:cs="Times New Roman"/>
          <w:i/>
          <w:iCs/>
          <w:noProof/>
          <w:color w:val="000000" w:themeColor="text1"/>
          <w:szCs w:val="24"/>
        </w:rPr>
        <w:t>Sedane Majalah Perburuhan</w:t>
      </w:r>
      <w:r w:rsidRPr="00392C90">
        <w:rPr>
          <w:rFonts w:ascii="Times New Arabic" w:hAnsi="Times New Arabic" w:cs="Times New Roman"/>
          <w:noProof/>
          <w:color w:val="000000" w:themeColor="text1"/>
          <w:szCs w:val="24"/>
        </w:rPr>
        <w:t>, April . https://majalahsedane.org/fsbku-bertahan-di-tengah-gempuran-sistem-kerja-kontrak/.</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Asuan. “Perlindungan Hukum Terhadap Pekerja Berstatus Perja</w:t>
      </w:r>
      <w:r>
        <w:rPr>
          <w:rFonts w:ascii="Times New Arabic" w:hAnsi="Times New Arabic" w:cs="Times New Roman"/>
          <w:noProof/>
          <w:color w:val="000000" w:themeColor="text1"/>
          <w:szCs w:val="24"/>
        </w:rPr>
        <w:t>njian Kerja Waktu Tertentu (PKWT</w:t>
      </w:r>
      <w:r w:rsidRPr="00392C90">
        <w:rPr>
          <w:rFonts w:ascii="Times New Arabic" w:hAnsi="Times New Arabic" w:cs="Times New Roman"/>
          <w:noProof/>
          <w:color w:val="000000" w:themeColor="text1"/>
          <w:szCs w:val="24"/>
        </w:rPr>
        <w:t>) Menurut Und</w:t>
      </w:r>
      <w:r>
        <w:rPr>
          <w:rFonts w:ascii="Times New Arabic" w:hAnsi="Times New Arabic" w:cs="Times New Roman"/>
          <w:noProof/>
          <w:color w:val="000000" w:themeColor="text1"/>
          <w:szCs w:val="24"/>
        </w:rPr>
        <w:t>ang-Undang Nomor 13 Tahun 2003 t</w:t>
      </w:r>
      <w:r w:rsidRPr="00392C90">
        <w:rPr>
          <w:rFonts w:ascii="Times New Arabic" w:hAnsi="Times New Arabic" w:cs="Times New Roman"/>
          <w:noProof/>
          <w:color w:val="000000" w:themeColor="text1"/>
          <w:szCs w:val="24"/>
        </w:rPr>
        <w:t xml:space="preserve">entang Ketenagakerjaan.” </w:t>
      </w:r>
      <w:r w:rsidRPr="00392C90">
        <w:rPr>
          <w:rFonts w:ascii="Times New Arabic" w:hAnsi="Times New Arabic" w:cs="Times New Roman"/>
          <w:i/>
          <w:iCs/>
          <w:noProof/>
          <w:color w:val="000000" w:themeColor="text1"/>
          <w:szCs w:val="24"/>
        </w:rPr>
        <w:t>SOLUSI</w:t>
      </w:r>
      <w:r w:rsidRPr="00392C90">
        <w:rPr>
          <w:rFonts w:ascii="Times New Arabic" w:hAnsi="Times New Arabic" w:cs="Times New Roman"/>
          <w:noProof/>
          <w:color w:val="000000" w:themeColor="text1"/>
          <w:szCs w:val="24"/>
        </w:rPr>
        <w:t xml:space="preserve"> 17, no. 1 (2019): 23–31. https://doi.org/https://doi.org/10.36546/solusi.v17i1.147.</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Dewi, Shunita Laxmi, Sonhaji, Budi Ispriarso. “Penerapan Prinsip Non Diskriminasi Dan Kesetaraan Dalam Pengupahan Bagi Pekerja/Buruh Di Kabupaten Kendal.” </w:t>
      </w:r>
      <w:r w:rsidRPr="00392C90">
        <w:rPr>
          <w:rFonts w:ascii="Times New Arabic" w:hAnsi="Times New Arabic" w:cs="Times New Roman"/>
          <w:i/>
          <w:iCs/>
          <w:noProof/>
          <w:color w:val="000000" w:themeColor="text1"/>
          <w:szCs w:val="24"/>
        </w:rPr>
        <w:t>DIPONEGORO LAW JOURNAL</w:t>
      </w:r>
      <w:r w:rsidRPr="00392C90">
        <w:rPr>
          <w:rFonts w:ascii="Times New Arabic" w:hAnsi="Times New Arabic" w:cs="Times New Roman"/>
          <w:noProof/>
          <w:color w:val="000000" w:themeColor="text1"/>
          <w:szCs w:val="24"/>
        </w:rPr>
        <w:t xml:space="preserve"> 6, no. 1 (2017): 1–21.</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Fidhayanti, Dwi. “Penyalahgunaan Keadaan (</w:t>
      </w:r>
      <w:r w:rsidRPr="00F93E5C">
        <w:rPr>
          <w:rFonts w:ascii="Times New Arabic" w:hAnsi="Times New Arabic" w:cs="Times New Roman"/>
          <w:i/>
          <w:iCs/>
          <w:noProof/>
          <w:color w:val="000000" w:themeColor="text1"/>
          <w:szCs w:val="24"/>
        </w:rPr>
        <w:t>Misbruik Van Omstandigheden</w:t>
      </w:r>
      <w:r w:rsidRPr="00392C90">
        <w:rPr>
          <w:rFonts w:ascii="Times New Arabic" w:hAnsi="Times New Arabic" w:cs="Times New Roman"/>
          <w:noProof/>
          <w:color w:val="000000" w:themeColor="text1"/>
          <w:szCs w:val="24"/>
        </w:rPr>
        <w:t xml:space="preserve">) Sebagai Larangan </w:t>
      </w:r>
      <w:r>
        <w:rPr>
          <w:rFonts w:ascii="Times New Arabic" w:hAnsi="Times New Arabic" w:cs="Times New Roman"/>
          <w:noProof/>
          <w:color w:val="000000" w:themeColor="text1"/>
          <w:szCs w:val="24"/>
        </w:rPr>
        <w:t>d</w:t>
      </w:r>
      <w:r w:rsidRPr="00392C90">
        <w:rPr>
          <w:rFonts w:ascii="Times New Arabic" w:hAnsi="Times New Arabic" w:cs="Times New Roman"/>
          <w:noProof/>
          <w:color w:val="000000" w:themeColor="text1"/>
          <w:szCs w:val="24"/>
        </w:rPr>
        <w:t xml:space="preserve">alam Perjanjian Syariah.” </w:t>
      </w:r>
      <w:r>
        <w:rPr>
          <w:rFonts w:ascii="Times New Arabic" w:hAnsi="Times New Arabic" w:cs="Times New Roman"/>
          <w:i/>
          <w:iCs/>
          <w:noProof/>
          <w:color w:val="000000" w:themeColor="text1"/>
          <w:szCs w:val="24"/>
        </w:rPr>
        <w:t>Jurisdictie: Jurnal Hukum d</w:t>
      </w:r>
      <w:r w:rsidRPr="00392C90">
        <w:rPr>
          <w:rFonts w:ascii="Times New Arabic" w:hAnsi="Times New Arabic" w:cs="Times New Roman"/>
          <w:i/>
          <w:iCs/>
          <w:noProof/>
          <w:color w:val="000000" w:themeColor="text1"/>
          <w:szCs w:val="24"/>
        </w:rPr>
        <w:t>an Syariah</w:t>
      </w:r>
      <w:r w:rsidRPr="00392C90">
        <w:rPr>
          <w:rFonts w:ascii="Times New Arabic" w:hAnsi="Times New Arabic" w:cs="Times New Roman"/>
          <w:noProof/>
          <w:color w:val="000000" w:themeColor="text1"/>
          <w:szCs w:val="24"/>
        </w:rPr>
        <w:t xml:space="preserve"> 9, no. 2 (2018): 165–83. https://doi.org/https://doi.org/10.18860/j.v9i2.5076.</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lastRenderedPageBreak/>
        <w:t>Giyono, Urip. “An</w:t>
      </w:r>
      <w:r>
        <w:rPr>
          <w:rFonts w:ascii="Times New Arabic" w:hAnsi="Times New Arabic" w:cs="Times New Roman"/>
          <w:noProof/>
          <w:color w:val="000000" w:themeColor="text1"/>
          <w:szCs w:val="24"/>
        </w:rPr>
        <w:t>alisa Hukum Ketenagakerjaan T</w:t>
      </w:r>
      <w:r w:rsidRPr="00392C90">
        <w:rPr>
          <w:rFonts w:ascii="Times New Arabic" w:hAnsi="Times New Arabic" w:cs="Times New Roman"/>
          <w:noProof/>
          <w:color w:val="000000" w:themeColor="text1"/>
          <w:szCs w:val="24"/>
        </w:rPr>
        <w:t>erhadap Asas Keadilan Pa</w:t>
      </w:r>
      <w:r>
        <w:rPr>
          <w:rFonts w:ascii="Times New Arabic" w:hAnsi="Times New Arabic" w:cs="Times New Roman"/>
          <w:noProof/>
          <w:color w:val="000000" w:themeColor="text1"/>
          <w:szCs w:val="24"/>
        </w:rPr>
        <w:t>da Undang-Undang Standar Buruh y</w:t>
      </w:r>
      <w:r w:rsidRPr="00392C90">
        <w:rPr>
          <w:rFonts w:ascii="Times New Arabic" w:hAnsi="Times New Arabic" w:cs="Times New Roman"/>
          <w:noProof/>
          <w:color w:val="000000" w:themeColor="text1"/>
          <w:szCs w:val="24"/>
        </w:rPr>
        <w:t>ang Adil (</w:t>
      </w:r>
      <w:r w:rsidRPr="00F93E5C">
        <w:rPr>
          <w:rFonts w:ascii="Times New Arabic" w:hAnsi="Times New Arabic" w:cs="Times New Roman"/>
          <w:i/>
          <w:iCs/>
          <w:noProof/>
          <w:color w:val="000000" w:themeColor="text1"/>
          <w:szCs w:val="24"/>
        </w:rPr>
        <w:t>Fair Labor Standar Act</w:t>
      </w:r>
      <w:r w:rsidRPr="00392C90">
        <w:rPr>
          <w:rFonts w:ascii="Times New Arabic" w:hAnsi="Times New Arabic" w:cs="Times New Roman"/>
          <w:noProof/>
          <w:color w:val="000000" w:themeColor="text1"/>
          <w:szCs w:val="24"/>
        </w:rPr>
        <w:t xml:space="preserve">) Tahun 1938.” </w:t>
      </w:r>
      <w:r w:rsidRPr="00392C90">
        <w:rPr>
          <w:rFonts w:ascii="Times New Arabic" w:hAnsi="Times New Arabic" w:cs="Times New Roman"/>
          <w:i/>
          <w:iCs/>
          <w:noProof/>
          <w:color w:val="000000" w:themeColor="text1"/>
          <w:szCs w:val="24"/>
        </w:rPr>
        <w:t>De Jure</w:t>
      </w:r>
      <w:r w:rsidRPr="00392C90">
        <w:rPr>
          <w:rFonts w:ascii="Times New Arabic" w:hAnsi="Times New Arabic" w:cs="Times New Roman"/>
          <w:noProof/>
          <w:color w:val="000000" w:themeColor="text1"/>
          <w:szCs w:val="24"/>
        </w:rPr>
        <w:t xml:space="preserve"> 1, no. 1 (2017): 84–99.</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Hadjon, Philipus M. </w:t>
      </w:r>
      <w:r w:rsidRPr="00392C90">
        <w:rPr>
          <w:rFonts w:ascii="Times New Arabic" w:hAnsi="Times New Arabic" w:cs="Times New Roman"/>
          <w:i/>
          <w:iCs/>
          <w:noProof/>
          <w:color w:val="000000" w:themeColor="text1"/>
          <w:szCs w:val="24"/>
        </w:rPr>
        <w:t>Perlindungan Hukum Bagi Masyarakat Indonesia</w:t>
      </w:r>
      <w:r w:rsidRPr="00392C90">
        <w:rPr>
          <w:rFonts w:ascii="Times New Arabic" w:hAnsi="Times New Arabic" w:cs="Times New Roman"/>
          <w:noProof/>
          <w:color w:val="000000" w:themeColor="text1"/>
          <w:szCs w:val="24"/>
        </w:rPr>
        <w:t>. Surabaya: Bina Ilmu, 1983.</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Himlah. “Pengaruh Job Security Terhadap Komitmen Organisasi Dengan Motivasi Kerja Sebagai Mediator Di PT. Wahana Ottomitra Finance Jakarta.” </w:t>
      </w:r>
      <w:r w:rsidRPr="00392C90">
        <w:rPr>
          <w:rFonts w:ascii="Times New Arabic" w:hAnsi="Times New Arabic" w:cs="Times New Roman"/>
          <w:i/>
          <w:iCs/>
          <w:noProof/>
          <w:color w:val="000000" w:themeColor="text1"/>
          <w:szCs w:val="24"/>
        </w:rPr>
        <w:t>Oratorio</w:t>
      </w:r>
      <w:r w:rsidRPr="00392C90">
        <w:rPr>
          <w:rFonts w:ascii="Times New Arabic" w:hAnsi="Times New Arabic" w:cs="Times New Roman"/>
          <w:noProof/>
          <w:color w:val="000000" w:themeColor="text1"/>
          <w:szCs w:val="24"/>
        </w:rPr>
        <w:t xml:space="preserve"> 5, no. 1 (2021): 1–18.</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Indriani, Maulida. “Peran Tenaga Kerja Indonesia Dalam Pembangunan Ekonomi Nasional.” </w:t>
      </w:r>
      <w:r w:rsidRPr="00392C90">
        <w:rPr>
          <w:rFonts w:ascii="Times New Arabic" w:hAnsi="Times New Arabic" w:cs="Times New Roman"/>
          <w:i/>
          <w:iCs/>
          <w:noProof/>
          <w:color w:val="000000" w:themeColor="text1"/>
          <w:szCs w:val="24"/>
        </w:rPr>
        <w:t>Gema Keadilan</w:t>
      </w:r>
      <w:r w:rsidRPr="00392C90">
        <w:rPr>
          <w:rFonts w:ascii="Times New Arabic" w:hAnsi="Times New Arabic" w:cs="Times New Roman"/>
          <w:noProof/>
          <w:color w:val="000000" w:themeColor="text1"/>
          <w:szCs w:val="24"/>
        </w:rPr>
        <w:t xml:space="preserve"> 3, no. 1 (2016): 74–85.</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Irsan, Muhammad, Ma’ruf Hafidz, dan Muhammad Kamal. “P</w:t>
      </w:r>
      <w:r>
        <w:rPr>
          <w:rFonts w:ascii="Times New Arabic" w:hAnsi="Times New Arabic" w:cs="Times New Roman"/>
          <w:noProof/>
          <w:color w:val="000000" w:themeColor="text1"/>
          <w:szCs w:val="24"/>
        </w:rPr>
        <w:t>erlindungan Hukum Bagi Pekerja d</w:t>
      </w:r>
      <w:r w:rsidRPr="00392C90">
        <w:rPr>
          <w:rFonts w:ascii="Times New Arabic" w:hAnsi="Times New Arabic" w:cs="Times New Roman"/>
          <w:noProof/>
          <w:color w:val="000000" w:themeColor="text1"/>
          <w:szCs w:val="24"/>
        </w:rPr>
        <w:t xml:space="preserve">alam Sistem Perjanjian Kerja Waktu Tertentu (PKWT).” </w:t>
      </w:r>
      <w:r w:rsidRPr="00392C90">
        <w:rPr>
          <w:rFonts w:ascii="Times New Arabic" w:hAnsi="Times New Arabic" w:cs="Times New Roman"/>
          <w:i/>
          <w:iCs/>
          <w:noProof/>
          <w:color w:val="000000" w:themeColor="text1"/>
          <w:szCs w:val="24"/>
        </w:rPr>
        <w:t>Jurnal Hukum: Al Hikam</w:t>
      </w:r>
      <w:r w:rsidRPr="00392C90">
        <w:rPr>
          <w:rFonts w:ascii="Times New Arabic" w:hAnsi="Times New Arabic" w:cs="Times New Roman"/>
          <w:noProof/>
          <w:color w:val="000000" w:themeColor="text1"/>
          <w:szCs w:val="24"/>
        </w:rPr>
        <w:t xml:space="preserve"> 6, no. 1 (2019): 058–067. https://doi.org/http://dx.doi.org/10.33096/hikam.v6i1.7.</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Kahfi, Ashabul. “Perlindungan Hukum Terhadap Tenaga Kerja.” </w:t>
      </w:r>
      <w:r w:rsidRPr="00392C90">
        <w:rPr>
          <w:rFonts w:ascii="Times New Arabic" w:hAnsi="Times New Arabic" w:cs="Times New Roman"/>
          <w:i/>
          <w:iCs/>
          <w:noProof/>
          <w:color w:val="000000" w:themeColor="text1"/>
          <w:szCs w:val="24"/>
        </w:rPr>
        <w:t>Jurisprudentie</w:t>
      </w:r>
      <w:r w:rsidRPr="00392C90">
        <w:rPr>
          <w:rFonts w:ascii="Times New Arabic" w:hAnsi="Times New Arabic" w:cs="Times New Roman"/>
          <w:noProof/>
          <w:color w:val="000000" w:themeColor="text1"/>
          <w:szCs w:val="24"/>
        </w:rPr>
        <w:t xml:space="preserve"> 3, no. 2 (2016): 59–72. https://doi.org/https://doi.org/10.24252/jurisprudentie.v3i2.2665.</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Khairunnisa, Shafira, Agus Pramono, Sonhaji. “</w:t>
      </w:r>
      <w:r>
        <w:rPr>
          <w:rFonts w:ascii="Times New Arabic" w:hAnsi="Times New Arabic" w:cs="Times New Roman"/>
          <w:noProof/>
          <w:color w:val="000000" w:themeColor="text1"/>
          <w:szCs w:val="24"/>
        </w:rPr>
        <w:t>Analisis Hukum Ratifikasi d</w:t>
      </w:r>
      <w:r w:rsidRPr="00392C90">
        <w:rPr>
          <w:rFonts w:ascii="Times New Arabic" w:hAnsi="Times New Arabic" w:cs="Times New Roman"/>
          <w:noProof/>
          <w:color w:val="000000" w:themeColor="text1"/>
          <w:szCs w:val="24"/>
        </w:rPr>
        <w:t>an Implementasi Konvensi-Konvensi Intern</w:t>
      </w:r>
      <w:r>
        <w:rPr>
          <w:rFonts w:ascii="Times New Arabic" w:hAnsi="Times New Arabic" w:cs="Times New Roman"/>
          <w:noProof/>
          <w:color w:val="000000" w:themeColor="text1"/>
          <w:szCs w:val="24"/>
        </w:rPr>
        <w:t>ational Labour Organization (ILO) d</w:t>
      </w:r>
      <w:r w:rsidRPr="00392C90">
        <w:rPr>
          <w:rFonts w:ascii="Times New Arabic" w:hAnsi="Times New Arabic" w:cs="Times New Roman"/>
          <w:noProof/>
          <w:color w:val="000000" w:themeColor="text1"/>
          <w:szCs w:val="24"/>
        </w:rPr>
        <w:t xml:space="preserve">i Indonesia.” </w:t>
      </w:r>
      <w:r w:rsidRPr="00392C90">
        <w:rPr>
          <w:rFonts w:ascii="Times New Arabic" w:hAnsi="Times New Arabic" w:cs="Times New Roman"/>
          <w:i/>
          <w:iCs/>
          <w:noProof/>
          <w:color w:val="000000" w:themeColor="text1"/>
          <w:szCs w:val="24"/>
        </w:rPr>
        <w:t>DIPONEGORO LAW REVIEW</w:t>
      </w:r>
      <w:r w:rsidRPr="00392C90">
        <w:rPr>
          <w:rFonts w:ascii="Times New Arabic" w:hAnsi="Times New Arabic" w:cs="Times New Roman"/>
          <w:noProof/>
          <w:color w:val="000000" w:themeColor="text1"/>
          <w:szCs w:val="24"/>
        </w:rPr>
        <w:t xml:space="preserve"> 5, no. 2 (2016): 1–15.</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Kholis, Nur. “</w:t>
      </w:r>
      <w:r>
        <w:rPr>
          <w:rFonts w:ascii="Times New Arabic" w:hAnsi="Times New Arabic" w:cs="Times New Roman"/>
          <w:noProof/>
          <w:color w:val="000000" w:themeColor="text1"/>
          <w:szCs w:val="24"/>
        </w:rPr>
        <w:t>Asas Non Diskriminasi d</w:t>
      </w:r>
      <w:r w:rsidRPr="00392C90">
        <w:rPr>
          <w:rFonts w:ascii="Times New Arabic" w:hAnsi="Times New Arabic" w:cs="Times New Roman"/>
          <w:noProof/>
          <w:color w:val="000000" w:themeColor="text1"/>
          <w:szCs w:val="24"/>
        </w:rPr>
        <w:t xml:space="preserve">alam </w:t>
      </w:r>
      <w:r w:rsidRPr="00F93E5C">
        <w:rPr>
          <w:rFonts w:ascii="Times New Arabic" w:hAnsi="Times New Arabic" w:cs="Times New Roman"/>
          <w:i/>
          <w:iCs/>
          <w:noProof/>
          <w:color w:val="000000" w:themeColor="text1"/>
          <w:szCs w:val="24"/>
        </w:rPr>
        <w:t>Contempt Of Court</w:t>
      </w:r>
      <w:r w:rsidRPr="00392C90">
        <w:rPr>
          <w:rFonts w:ascii="Times New Arabic" w:hAnsi="Times New Arabic" w:cs="Times New Roman"/>
          <w:noProof/>
          <w:color w:val="000000" w:themeColor="text1"/>
          <w:szCs w:val="24"/>
        </w:rPr>
        <w:t xml:space="preserve">.” </w:t>
      </w:r>
      <w:r w:rsidRPr="00392C90">
        <w:rPr>
          <w:rFonts w:ascii="Times New Arabic" w:hAnsi="Times New Arabic" w:cs="Times New Roman"/>
          <w:i/>
          <w:iCs/>
          <w:noProof/>
          <w:color w:val="000000" w:themeColor="text1"/>
          <w:szCs w:val="24"/>
        </w:rPr>
        <w:t>Legality</w:t>
      </w:r>
      <w:r w:rsidRPr="00392C90">
        <w:rPr>
          <w:rFonts w:ascii="Times New Arabic" w:hAnsi="Times New Arabic" w:cs="Times New Roman"/>
          <w:noProof/>
          <w:color w:val="000000" w:themeColor="text1"/>
          <w:szCs w:val="24"/>
        </w:rPr>
        <w:t xml:space="preserve"> 26, no. 2 (2019): 210–37.</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Latupono, Barzah. “</w:t>
      </w:r>
      <w:r>
        <w:rPr>
          <w:rFonts w:ascii="Times New Arabic" w:hAnsi="Times New Arabic" w:cs="Times New Roman"/>
          <w:noProof/>
          <w:color w:val="000000" w:themeColor="text1"/>
          <w:szCs w:val="24"/>
        </w:rPr>
        <w:t>Perlindungan Hukum d</w:t>
      </w:r>
      <w:r w:rsidRPr="00392C90">
        <w:rPr>
          <w:rFonts w:ascii="Times New Arabic" w:hAnsi="Times New Arabic" w:cs="Times New Roman"/>
          <w:noProof/>
          <w:color w:val="000000" w:themeColor="text1"/>
          <w:szCs w:val="24"/>
        </w:rPr>
        <w:t>an Hak Asasi Manusia Terhadap Pekerja Kontrak (</w:t>
      </w:r>
      <w:r w:rsidRPr="00F93E5C">
        <w:rPr>
          <w:rFonts w:ascii="Times New Arabic" w:hAnsi="Times New Arabic" w:cs="Times New Roman"/>
          <w:i/>
          <w:iCs/>
          <w:noProof/>
          <w:color w:val="000000" w:themeColor="text1"/>
          <w:szCs w:val="24"/>
        </w:rPr>
        <w:t>Outsourcing</w:t>
      </w:r>
      <w:r>
        <w:rPr>
          <w:rFonts w:ascii="Times New Arabic" w:hAnsi="Times New Arabic" w:cs="Times New Roman"/>
          <w:noProof/>
          <w:color w:val="000000" w:themeColor="text1"/>
          <w:szCs w:val="24"/>
        </w:rPr>
        <w:t>) d</w:t>
      </w:r>
      <w:r w:rsidRPr="00392C90">
        <w:rPr>
          <w:rFonts w:ascii="Times New Arabic" w:hAnsi="Times New Arabic" w:cs="Times New Roman"/>
          <w:noProof/>
          <w:color w:val="000000" w:themeColor="text1"/>
          <w:szCs w:val="24"/>
        </w:rPr>
        <w:t xml:space="preserve">i Kota Ambon.” </w:t>
      </w:r>
      <w:r w:rsidRPr="00392C90">
        <w:rPr>
          <w:rFonts w:ascii="Times New Arabic" w:hAnsi="Times New Arabic" w:cs="Times New Roman"/>
          <w:i/>
          <w:iCs/>
          <w:noProof/>
          <w:color w:val="000000" w:themeColor="text1"/>
          <w:szCs w:val="24"/>
        </w:rPr>
        <w:t>Jurnal Sasi</w:t>
      </w:r>
      <w:r w:rsidRPr="00392C90">
        <w:rPr>
          <w:rFonts w:ascii="Times New Arabic" w:hAnsi="Times New Arabic" w:cs="Times New Roman"/>
          <w:noProof/>
          <w:color w:val="000000" w:themeColor="text1"/>
          <w:szCs w:val="24"/>
        </w:rPr>
        <w:t xml:space="preserve"> 13, no. 3 (2011): 59–69.</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LBH Yogyakarta. “Perjuangan Buruh Mencapai Hidup Sejahtera.” LBH Yogyakarta, 2016. https://lbhyogyakarta.org/2016/05/13/perjuangan-buruh-mencapai-hidup-sejahtera/.</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Maghfiroh, Vista Nur Wasiatul. “Perlindungan Hukum Bagi Pekerja Berdasarkan Perjanjian Kerja Tidak Tertulis Pasca Berlakunya Undang-Undang Nomor 11 Tahun 2020 Tentang Cipta Kerja.” </w:t>
      </w:r>
      <w:r w:rsidRPr="00392C90">
        <w:rPr>
          <w:rFonts w:ascii="Times New Arabic" w:hAnsi="Times New Arabic" w:cs="Times New Roman"/>
          <w:i/>
          <w:iCs/>
          <w:noProof/>
          <w:color w:val="000000" w:themeColor="text1"/>
          <w:szCs w:val="24"/>
        </w:rPr>
        <w:t>Novum: Jurnal Hukum</w:t>
      </w:r>
      <w:r w:rsidRPr="00392C90">
        <w:rPr>
          <w:rFonts w:ascii="Times New Arabic" w:hAnsi="Times New Arabic" w:cs="Times New Roman"/>
          <w:noProof/>
          <w:color w:val="000000" w:themeColor="text1"/>
          <w:szCs w:val="24"/>
        </w:rPr>
        <w:t>, no. In Press, Syarat SPK (7) (2022): 91–100. https://doi.org/https://doi.org/10.2674/novum.v0i0.41724.</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lastRenderedPageBreak/>
        <w:t>Paparang, Fatmah. “</w:t>
      </w:r>
      <w:r>
        <w:rPr>
          <w:rFonts w:ascii="Times New Arabic" w:hAnsi="Times New Arabic" w:cs="Times New Roman"/>
          <w:noProof/>
          <w:color w:val="000000" w:themeColor="text1"/>
          <w:szCs w:val="24"/>
        </w:rPr>
        <w:t>Misbruik Van Omstandigheden d</w:t>
      </w:r>
      <w:r w:rsidRPr="00392C90">
        <w:rPr>
          <w:rFonts w:ascii="Times New Arabic" w:hAnsi="Times New Arabic" w:cs="Times New Roman"/>
          <w:noProof/>
          <w:color w:val="000000" w:themeColor="text1"/>
          <w:szCs w:val="24"/>
        </w:rPr>
        <w:t xml:space="preserve">alam Perkembangan Hukum Kontrak.” </w:t>
      </w:r>
      <w:r w:rsidRPr="00392C90">
        <w:rPr>
          <w:rFonts w:ascii="Times New Arabic" w:hAnsi="Times New Arabic" w:cs="Times New Roman"/>
          <w:i/>
          <w:iCs/>
          <w:noProof/>
          <w:color w:val="000000" w:themeColor="text1"/>
          <w:szCs w:val="24"/>
        </w:rPr>
        <w:t>JURNAL HUKUM UNSRAT</w:t>
      </w:r>
      <w:r w:rsidRPr="00392C90">
        <w:rPr>
          <w:rFonts w:ascii="Times New Arabic" w:hAnsi="Times New Arabic" w:cs="Times New Roman"/>
          <w:noProof/>
          <w:color w:val="000000" w:themeColor="text1"/>
          <w:szCs w:val="24"/>
        </w:rPr>
        <w:t xml:space="preserve"> 22, no. 6 (2016): 46–59.</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Peraturan Pemerintah RI Nomor 35 Tahun 2021 tentang Perjanjian Kerja Waktu Tertentu, Alih Daya, Waktu Kerja dan Waktu Istiraha</w:t>
      </w:r>
      <w:r>
        <w:rPr>
          <w:rFonts w:ascii="Times New Arabic" w:hAnsi="Times New Arabic" w:cs="Times New Roman"/>
          <w:noProof/>
          <w:color w:val="000000" w:themeColor="text1"/>
          <w:szCs w:val="24"/>
        </w:rPr>
        <w:t>t, dan Pemutusan Hubungan Kerja.</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Prana, Satria Adhi. “Perlindungan Dan Kepastian Hukum Bagi Pekerja Dengan Perjanjian Kerja Waktu Tertentu (PKWT) Pasca Undang-Undnag Nomor 11 Tahun 2020 Tentang Cipta Kerja.” </w:t>
      </w:r>
      <w:r w:rsidRPr="00392C90">
        <w:rPr>
          <w:rFonts w:ascii="Times New Arabic" w:hAnsi="Times New Arabic" w:cs="Times New Roman"/>
          <w:i/>
          <w:iCs/>
          <w:noProof/>
          <w:color w:val="000000" w:themeColor="text1"/>
          <w:szCs w:val="24"/>
        </w:rPr>
        <w:t>Jurnal Justitia</w:t>
      </w:r>
      <w:r w:rsidRPr="00392C90">
        <w:rPr>
          <w:rFonts w:ascii="Times New Arabic" w:hAnsi="Times New Arabic" w:cs="Times New Roman"/>
          <w:noProof/>
          <w:color w:val="000000" w:themeColor="text1"/>
          <w:szCs w:val="24"/>
        </w:rPr>
        <w:t xml:space="preserve"> 9, no. 7 (2022): 3413–18. https://doi.org/http://dx.doi.org/10.31604/justitia.v9i7.3413-3418.</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Risdaryanto, Dean Rizqullah. “</w:t>
      </w:r>
      <w:r>
        <w:rPr>
          <w:rFonts w:ascii="Times New Arabic" w:hAnsi="Times New Arabic" w:cs="Times New Roman"/>
          <w:noProof/>
          <w:color w:val="000000" w:themeColor="text1"/>
          <w:szCs w:val="24"/>
        </w:rPr>
        <w:t>Pengawasan s</w:t>
      </w:r>
      <w:r w:rsidRPr="00392C90">
        <w:rPr>
          <w:rFonts w:ascii="Times New Arabic" w:hAnsi="Times New Arabic" w:cs="Times New Roman"/>
          <w:noProof/>
          <w:color w:val="000000" w:themeColor="text1"/>
          <w:szCs w:val="24"/>
        </w:rPr>
        <w:t>ebagai B</w:t>
      </w:r>
      <w:r>
        <w:rPr>
          <w:rFonts w:ascii="Times New Arabic" w:hAnsi="Times New Arabic" w:cs="Times New Roman"/>
          <w:noProof/>
          <w:color w:val="000000" w:themeColor="text1"/>
          <w:szCs w:val="24"/>
        </w:rPr>
        <w:t>entuk Campur Tangan Pemerintah dalam Perlindungan Hukum d</w:t>
      </w:r>
      <w:r w:rsidRPr="00392C90">
        <w:rPr>
          <w:rFonts w:ascii="Times New Arabic" w:hAnsi="Times New Arabic" w:cs="Times New Roman"/>
          <w:noProof/>
          <w:color w:val="000000" w:themeColor="text1"/>
          <w:szCs w:val="24"/>
        </w:rPr>
        <w:t>i Bidang Ketenagakerjaan.” fh.unair.ac.id, 2021. https://fh.unair.ac.id/en/pengawasan-sebagai-bentuk-campur-tangan-pemerintah-dalam-perlindungan-hukum-di-bidang-ketenagakerjaan/.</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Santosa, Dewa Gede Giri. “Perjanjian Kerja Waktu Tertentu Pasca Undang-Undang Cipta Kerja: Implementasi Dan Permasalahannya.” </w:t>
      </w:r>
      <w:r w:rsidRPr="00392C90">
        <w:rPr>
          <w:rFonts w:ascii="Times New Arabic" w:hAnsi="Times New Arabic" w:cs="Times New Roman"/>
          <w:i/>
          <w:iCs/>
          <w:noProof/>
          <w:color w:val="000000" w:themeColor="text1"/>
          <w:szCs w:val="24"/>
        </w:rPr>
        <w:t>Jurnal Ilmu Hukum</w:t>
      </w:r>
      <w:r w:rsidRPr="00392C90">
        <w:rPr>
          <w:rFonts w:ascii="Times New Arabic" w:hAnsi="Times New Arabic" w:cs="Times New Roman"/>
          <w:noProof/>
          <w:color w:val="000000" w:themeColor="text1"/>
          <w:szCs w:val="24"/>
        </w:rPr>
        <w:t xml:space="preserve"> 17, no. 2 (2021): 178–91.</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Santoso, Budi dan Ratih Dheviana. “Eksistensi Asas Kebebasan Berkontrak Dalam Perjanjian Kerja.” </w:t>
      </w:r>
      <w:r w:rsidRPr="00392C90">
        <w:rPr>
          <w:rFonts w:ascii="Times New Arabic" w:hAnsi="Times New Arabic" w:cs="Times New Roman"/>
          <w:i/>
          <w:iCs/>
          <w:noProof/>
          <w:color w:val="000000" w:themeColor="text1"/>
          <w:szCs w:val="24"/>
        </w:rPr>
        <w:t>Jurnal Arena Hukum</w:t>
      </w:r>
      <w:r w:rsidRPr="00392C90">
        <w:rPr>
          <w:rFonts w:ascii="Times New Arabic" w:hAnsi="Times New Arabic" w:cs="Times New Roman"/>
          <w:noProof/>
          <w:color w:val="000000" w:themeColor="text1"/>
          <w:szCs w:val="24"/>
        </w:rPr>
        <w:t xml:space="preserve"> 6, no. 3 (2012): 201–9.</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Sengkey, Marssel Michael. “Kesejahteraan Subjektif Pekerja Kontrak (PKWT).” </w:t>
      </w:r>
      <w:r w:rsidRPr="00392C90">
        <w:rPr>
          <w:rFonts w:ascii="Times New Arabic" w:hAnsi="Times New Arabic" w:cs="Times New Roman"/>
          <w:i/>
          <w:iCs/>
          <w:noProof/>
          <w:color w:val="000000" w:themeColor="text1"/>
          <w:szCs w:val="24"/>
        </w:rPr>
        <w:t>Seurune</w:t>
      </w:r>
      <w:r w:rsidRPr="00392C90">
        <w:rPr>
          <w:rFonts w:ascii="Times New Arabic" w:hAnsi="Times New Arabic" w:cs="Times New Roman"/>
          <w:noProof/>
          <w:color w:val="000000" w:themeColor="text1"/>
          <w:szCs w:val="24"/>
        </w:rPr>
        <w:t xml:space="preserve"> 3, no. 2 (2020): 1–21.</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Sinaga, Niru Anita dan Tiberius Zaluchu. “Perl</w:t>
      </w:r>
      <w:r>
        <w:rPr>
          <w:rFonts w:ascii="Times New Arabic" w:hAnsi="Times New Arabic" w:cs="Times New Roman"/>
          <w:noProof/>
          <w:color w:val="000000" w:themeColor="text1"/>
          <w:szCs w:val="24"/>
        </w:rPr>
        <w:t>indungan Hukum Hak-Hak Pekerja dalam Hubungan Ketenagakerjaan d</w:t>
      </w:r>
      <w:r w:rsidRPr="00392C90">
        <w:rPr>
          <w:rFonts w:ascii="Times New Arabic" w:hAnsi="Times New Arabic" w:cs="Times New Roman"/>
          <w:noProof/>
          <w:color w:val="000000" w:themeColor="text1"/>
          <w:szCs w:val="24"/>
        </w:rPr>
        <w:t xml:space="preserve">i Indonesia.” </w:t>
      </w:r>
      <w:r w:rsidRPr="00392C90">
        <w:rPr>
          <w:rFonts w:ascii="Times New Arabic" w:hAnsi="Times New Arabic" w:cs="Times New Roman"/>
          <w:i/>
          <w:iCs/>
          <w:noProof/>
          <w:color w:val="000000" w:themeColor="text1"/>
          <w:szCs w:val="24"/>
        </w:rPr>
        <w:t>JURNAL TEKNOLOGI INDUSTRI</w:t>
      </w:r>
      <w:r w:rsidRPr="00392C90">
        <w:rPr>
          <w:rFonts w:ascii="Times New Arabic" w:hAnsi="Times New Arabic" w:cs="Times New Roman"/>
          <w:noProof/>
          <w:color w:val="000000" w:themeColor="text1"/>
          <w:szCs w:val="24"/>
        </w:rPr>
        <w:t xml:space="preserve"> 6, no. 1 (2017): 56–70. https://doi.org/https://doi.org/10.35968/.v6i0.754.</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Soepomo, Imam. </w:t>
      </w:r>
      <w:r w:rsidRPr="00392C90">
        <w:rPr>
          <w:rFonts w:ascii="Times New Arabic" w:hAnsi="Times New Arabic" w:cs="Times New Roman"/>
          <w:i/>
          <w:iCs/>
          <w:noProof/>
          <w:color w:val="000000" w:themeColor="text1"/>
          <w:szCs w:val="24"/>
        </w:rPr>
        <w:t>Pengantar Hukum Perburuhan</w:t>
      </w:r>
      <w:r w:rsidRPr="00392C90">
        <w:rPr>
          <w:rFonts w:ascii="Times New Arabic" w:hAnsi="Times New Arabic" w:cs="Times New Roman"/>
          <w:noProof/>
          <w:color w:val="000000" w:themeColor="text1"/>
          <w:szCs w:val="24"/>
        </w:rPr>
        <w:t>. Jakarta: Djambatan, 2003.</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Suntoro, Agus. “Implementa</w:t>
      </w:r>
      <w:r>
        <w:rPr>
          <w:rFonts w:ascii="Times New Arabic" w:hAnsi="Times New Arabic" w:cs="Times New Roman"/>
          <w:noProof/>
          <w:color w:val="000000" w:themeColor="text1"/>
          <w:szCs w:val="24"/>
        </w:rPr>
        <w:t>si Pencapaian Secara Progresif d</w:t>
      </w:r>
      <w:r w:rsidRPr="00392C90">
        <w:rPr>
          <w:rFonts w:ascii="Times New Arabic" w:hAnsi="Times New Arabic" w:cs="Times New Roman"/>
          <w:noProof/>
          <w:color w:val="000000" w:themeColor="text1"/>
          <w:szCs w:val="24"/>
        </w:rPr>
        <w:t xml:space="preserve">alam </w:t>
      </w:r>
      <w:r w:rsidRPr="00F93E5C">
        <w:rPr>
          <w:rFonts w:ascii="Times New Arabic" w:hAnsi="Times New Arabic" w:cs="Times New Roman"/>
          <w:i/>
          <w:iCs/>
          <w:noProof/>
          <w:color w:val="000000" w:themeColor="text1"/>
          <w:szCs w:val="24"/>
        </w:rPr>
        <w:t>Omnibus Law</w:t>
      </w:r>
      <w:r w:rsidRPr="00392C90">
        <w:rPr>
          <w:rFonts w:ascii="Times New Arabic" w:hAnsi="Times New Arabic" w:cs="Times New Roman"/>
          <w:noProof/>
          <w:color w:val="000000" w:themeColor="text1"/>
          <w:szCs w:val="24"/>
        </w:rPr>
        <w:t xml:space="preserve"> Cipta Kerja (The Implementation of Progressive Realization at Omnibus Law).” </w:t>
      </w:r>
      <w:r w:rsidRPr="00392C90">
        <w:rPr>
          <w:rFonts w:ascii="Times New Arabic" w:hAnsi="Times New Arabic" w:cs="Times New Roman"/>
          <w:i/>
          <w:iCs/>
          <w:noProof/>
          <w:color w:val="000000" w:themeColor="text1"/>
          <w:szCs w:val="24"/>
        </w:rPr>
        <w:t>Jurnal HAM</w:t>
      </w:r>
      <w:r w:rsidRPr="00392C90">
        <w:rPr>
          <w:rFonts w:ascii="Times New Arabic" w:hAnsi="Times New Arabic" w:cs="Times New Roman"/>
          <w:noProof/>
          <w:color w:val="000000" w:themeColor="text1"/>
          <w:szCs w:val="24"/>
        </w:rPr>
        <w:t xml:space="preserve"> 12, no. 1 (2021): 1–18. https://doi.org/http://dx.doi.org/10.30641/ham.2021.12.1-18.</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Suyanto, Heru dan Andriyanto Adhi Nugroho. “Perlindungan Hukum Terhadap Hak-Hak Pekerja Outsourcing Berdasarkan Asas Keadilan.” </w:t>
      </w:r>
      <w:r w:rsidRPr="00392C90">
        <w:rPr>
          <w:rFonts w:ascii="Times New Arabic" w:hAnsi="Times New Arabic" w:cs="Times New Roman"/>
          <w:i/>
          <w:iCs/>
          <w:noProof/>
          <w:color w:val="000000" w:themeColor="text1"/>
          <w:szCs w:val="24"/>
        </w:rPr>
        <w:t>Jurnal Yuridis</w:t>
      </w:r>
      <w:r w:rsidRPr="00392C90">
        <w:rPr>
          <w:rFonts w:ascii="Times New Arabic" w:hAnsi="Times New Arabic" w:cs="Times New Roman"/>
          <w:noProof/>
          <w:color w:val="000000" w:themeColor="text1"/>
          <w:szCs w:val="24"/>
        </w:rPr>
        <w:t xml:space="preserve"> 3, no. 2 </w:t>
      </w:r>
      <w:r w:rsidRPr="00392C90">
        <w:rPr>
          <w:rFonts w:ascii="Times New Arabic" w:hAnsi="Times New Arabic" w:cs="Times New Roman"/>
          <w:noProof/>
          <w:color w:val="000000" w:themeColor="text1"/>
          <w:szCs w:val="24"/>
        </w:rPr>
        <w:lastRenderedPageBreak/>
        <w:t>(2016): 1–14.</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Suseno, Franz Magnis. </w:t>
      </w:r>
      <w:r w:rsidRPr="00392C90">
        <w:rPr>
          <w:rFonts w:ascii="Times New Arabic" w:hAnsi="Times New Arabic" w:cs="Times New Roman"/>
          <w:i/>
          <w:iCs/>
          <w:noProof/>
          <w:color w:val="000000" w:themeColor="text1"/>
          <w:szCs w:val="24"/>
        </w:rPr>
        <w:t>Kuasa Dan Moral</w:t>
      </w:r>
      <w:r w:rsidRPr="00392C90">
        <w:rPr>
          <w:rFonts w:ascii="Times New Arabic" w:hAnsi="Times New Arabic" w:cs="Times New Roman"/>
          <w:noProof/>
          <w:color w:val="000000" w:themeColor="text1"/>
          <w:szCs w:val="24"/>
        </w:rPr>
        <w:t>. Jakarta: Gramedia, 1990.</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Rohmah, Siti, Moh Anas Kholish dan Andi Muhammad Galib. “Human Rights and Islamic Law Discourse: The Epistemological Construction of Abul A’la Al-Maududi, Abdullahi Ahmed An-Naim, and Mashood A. Baderin.” </w:t>
      </w:r>
      <w:r w:rsidRPr="00392C90">
        <w:rPr>
          <w:rFonts w:ascii="Times New Arabic" w:hAnsi="Times New Arabic" w:cs="Times New Roman"/>
          <w:i/>
          <w:iCs/>
          <w:noProof/>
          <w:color w:val="000000" w:themeColor="text1"/>
          <w:szCs w:val="24"/>
        </w:rPr>
        <w:t>JUsticia Islamica</w:t>
      </w:r>
      <w:r w:rsidRPr="00392C90">
        <w:rPr>
          <w:rFonts w:ascii="Times New Arabic" w:hAnsi="Times New Arabic" w:cs="Times New Roman"/>
          <w:noProof/>
          <w:color w:val="000000" w:themeColor="text1"/>
          <w:szCs w:val="24"/>
        </w:rPr>
        <w:t xml:space="preserve"> 19, no. 1 (2022): 153–70. https://doi.org/10.21154/justicia.v19i1.3282.</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Thea DA, Ady. “Prof Aloysius Uwiyono: Pengaturan PKWT Dalam UU Cipta Kerja Belum Berkeadilan.” hukumonline.com, 2021. https://www.hukumonline.com/berita/a/prof-aloysius-uwiyono--pengaturan-pkwt-dalam-uu-cipta-kerja-belum-berkeadilan-lt6054c2939ca00/?page=all.</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Triono, Aru Lego. “Kaleidoskop 2020: Kontroversi Pengesahan UU Cipta Kerja.” NU Online. Jakarta. Accessed September 15, 2020. https://www.nu.or.id/nasional/kaleidoskop-2020-kontroversi-pengesahan-uu-cipta-kerja-SowsY.</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Undang-Undang Nomor 13 Tahun 2003 tentang Ketenagakerjaan </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Undang-Undang Nomor 39 Tahun 1999 tentang Hak Aasi Manusia</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Ward, Ian. </w:t>
      </w:r>
      <w:r w:rsidRPr="00392C90">
        <w:rPr>
          <w:rFonts w:ascii="Times New Arabic" w:hAnsi="Times New Arabic" w:cs="Times New Roman"/>
          <w:i/>
          <w:iCs/>
          <w:noProof/>
          <w:color w:val="000000" w:themeColor="text1"/>
          <w:szCs w:val="24"/>
        </w:rPr>
        <w:t>Pengantar Teori Hukum Kritis / Ian Ward</w:t>
      </w:r>
      <w:r w:rsidRPr="00392C90">
        <w:rPr>
          <w:rFonts w:ascii="Times New Roman" w:hAnsi="Times New Roman" w:cs="Times New Roman"/>
          <w:i/>
          <w:iCs/>
          <w:noProof/>
          <w:color w:val="000000" w:themeColor="text1"/>
          <w:szCs w:val="24"/>
        </w:rPr>
        <w:t> </w:t>
      </w:r>
      <w:r w:rsidRPr="00392C90">
        <w:rPr>
          <w:rFonts w:ascii="Times New Arabic" w:hAnsi="Times New Arabic" w:cs="Times New Roman"/>
          <w:i/>
          <w:iCs/>
          <w:noProof/>
          <w:color w:val="000000" w:themeColor="text1"/>
          <w:szCs w:val="24"/>
        </w:rPr>
        <w:t>; Penerjemah, Narulita Yusron Dan M. Khozim</w:t>
      </w:r>
      <w:r w:rsidRPr="00392C90">
        <w:rPr>
          <w:rFonts w:ascii="Times New Roman" w:hAnsi="Times New Roman" w:cs="Times New Roman"/>
          <w:i/>
          <w:iCs/>
          <w:noProof/>
          <w:color w:val="000000" w:themeColor="text1"/>
          <w:szCs w:val="24"/>
        </w:rPr>
        <w:t> </w:t>
      </w:r>
      <w:r w:rsidRPr="00392C90">
        <w:rPr>
          <w:rFonts w:ascii="Times New Arabic" w:hAnsi="Times New Arabic" w:cs="Times New Roman"/>
          <w:i/>
          <w:iCs/>
          <w:noProof/>
          <w:color w:val="000000" w:themeColor="text1"/>
          <w:szCs w:val="24"/>
        </w:rPr>
        <w:t>; Penyunting, Nur Ainin Mangunsong</w:t>
      </w:r>
      <w:r w:rsidRPr="00392C90">
        <w:rPr>
          <w:rFonts w:ascii="Times New Arabic" w:hAnsi="Times New Arabic" w:cs="Times New Roman"/>
          <w:noProof/>
          <w:color w:val="000000" w:themeColor="text1"/>
          <w:szCs w:val="24"/>
        </w:rPr>
        <w:t>. Bandung: Nusamedia, 2014.</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Wijayanti, Asri. </w:t>
      </w:r>
      <w:r w:rsidRPr="00392C90">
        <w:rPr>
          <w:rFonts w:ascii="Times New Arabic" w:hAnsi="Times New Arabic" w:cs="Times New Roman"/>
          <w:i/>
          <w:iCs/>
          <w:noProof/>
          <w:color w:val="000000" w:themeColor="text1"/>
          <w:szCs w:val="24"/>
        </w:rPr>
        <w:t>Hukum Ketenagakerjaan Pasca Reformasi</w:t>
      </w:r>
      <w:r w:rsidRPr="00392C90">
        <w:rPr>
          <w:rFonts w:ascii="Times New Arabic" w:hAnsi="Times New Arabic" w:cs="Times New Roman"/>
          <w:noProof/>
          <w:color w:val="000000" w:themeColor="text1"/>
          <w:szCs w:val="24"/>
        </w:rPr>
        <w:t>. Jakarta: Sinar Grafika, 2014.</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szCs w:val="24"/>
        </w:rPr>
      </w:pPr>
      <w:r w:rsidRPr="00392C90">
        <w:rPr>
          <w:rFonts w:ascii="Times New Arabic" w:hAnsi="Times New Arabic" w:cs="Times New Roman"/>
          <w:noProof/>
          <w:color w:val="000000" w:themeColor="text1"/>
          <w:szCs w:val="24"/>
        </w:rPr>
        <w:t xml:space="preserve">Zainal Asikin. </w:t>
      </w:r>
      <w:r w:rsidRPr="00392C90">
        <w:rPr>
          <w:rFonts w:ascii="Times New Arabic" w:hAnsi="Times New Arabic" w:cs="Times New Roman"/>
          <w:i/>
          <w:iCs/>
          <w:noProof/>
          <w:color w:val="000000" w:themeColor="text1"/>
          <w:szCs w:val="24"/>
        </w:rPr>
        <w:t>Dasar-Dasar Hukum Perburuhan</w:t>
      </w:r>
      <w:r w:rsidRPr="00392C90">
        <w:rPr>
          <w:rFonts w:ascii="Times New Arabic" w:hAnsi="Times New Arabic" w:cs="Times New Roman"/>
          <w:noProof/>
          <w:color w:val="000000" w:themeColor="text1"/>
          <w:szCs w:val="24"/>
        </w:rPr>
        <w:t>. Jakarta: Raja Grafindo Persada, 1993.</w:t>
      </w:r>
    </w:p>
    <w:p w:rsidR="002A7993" w:rsidRPr="00392C90" w:rsidRDefault="002A7993" w:rsidP="002A7993">
      <w:pPr>
        <w:widowControl w:val="0"/>
        <w:autoSpaceDE w:val="0"/>
        <w:autoSpaceDN w:val="0"/>
        <w:adjustRightInd w:val="0"/>
        <w:spacing w:line="276" w:lineRule="auto"/>
        <w:ind w:left="480" w:hanging="480"/>
        <w:rPr>
          <w:rFonts w:ascii="Times New Arabic" w:hAnsi="Times New Arabic" w:cs="Times New Roman"/>
          <w:noProof/>
          <w:color w:val="000000" w:themeColor="text1"/>
        </w:rPr>
      </w:pPr>
      <w:r w:rsidRPr="00392C90">
        <w:rPr>
          <w:rFonts w:ascii="Times New Arabic" w:hAnsi="Times New Arabic" w:cs="Times New Roman"/>
          <w:noProof/>
          <w:color w:val="000000" w:themeColor="text1"/>
          <w:szCs w:val="24"/>
        </w:rPr>
        <w:t xml:space="preserve">Zulfa, Eva Achjani. “MENELAAH ARTI HAK UNTUK HIDUP SEBAGAI HAK ASASI MANUSIA.” </w:t>
      </w:r>
      <w:r w:rsidRPr="00392C90">
        <w:rPr>
          <w:rFonts w:ascii="Times New Arabic" w:hAnsi="Times New Arabic" w:cs="Times New Roman"/>
          <w:i/>
          <w:iCs/>
          <w:noProof/>
          <w:color w:val="000000" w:themeColor="text1"/>
          <w:szCs w:val="24"/>
        </w:rPr>
        <w:t>Lex Jurnalica</w:t>
      </w:r>
      <w:r w:rsidRPr="00392C90">
        <w:rPr>
          <w:rFonts w:ascii="Times New Arabic" w:hAnsi="Times New Arabic" w:cs="Times New Roman"/>
          <w:noProof/>
          <w:color w:val="000000" w:themeColor="text1"/>
          <w:szCs w:val="24"/>
        </w:rPr>
        <w:t xml:space="preserve"> 3, no. 1 (2005): 11–23. https://digilib.esaunggul.ac.id/public/UEU-Journal-4681-EVA_ACHJANI_ZULFA.pdf.</w:t>
      </w:r>
    </w:p>
    <w:p w:rsidR="004D77C0" w:rsidRPr="002A7993" w:rsidRDefault="002A7993" w:rsidP="002A7993">
      <w:pPr>
        <w:spacing w:line="276" w:lineRule="auto"/>
        <w:rPr>
          <w:rFonts w:ascii="Times New Arabic" w:hAnsi="Times New Arabic" w:cstheme="majorBidi"/>
          <w:color w:val="FF0000"/>
          <w:szCs w:val="24"/>
          <w:lang w:val="en-US"/>
        </w:rPr>
      </w:pPr>
      <w:r w:rsidRPr="00392C90">
        <w:rPr>
          <w:rFonts w:ascii="Times New Arabic" w:hAnsi="Times New Arabic" w:cstheme="majorBidi"/>
          <w:color w:val="000000" w:themeColor="text1"/>
          <w:szCs w:val="24"/>
          <w:lang w:val="en-US"/>
        </w:rPr>
        <w:fldChar w:fldCharType="end"/>
      </w:r>
    </w:p>
    <w:p w:rsidR="00C21109" w:rsidRPr="00695919" w:rsidRDefault="00C21109" w:rsidP="00E77617">
      <w:pPr>
        <w:spacing w:line="276" w:lineRule="auto"/>
        <w:ind w:firstLine="720"/>
        <w:jc w:val="both"/>
        <w:rPr>
          <w:rFonts w:ascii="Times New Arabic" w:hAnsi="Times New Arabic"/>
        </w:rPr>
      </w:pPr>
    </w:p>
    <w:p w:rsidR="0005748D" w:rsidRPr="00695919" w:rsidRDefault="0005748D" w:rsidP="00E77617">
      <w:pPr>
        <w:spacing w:line="276" w:lineRule="auto"/>
        <w:ind w:firstLine="720"/>
        <w:jc w:val="both"/>
        <w:rPr>
          <w:rFonts w:ascii="Times New Arabic" w:hAnsi="Times New Arabic"/>
          <w:lang w:val="en-US"/>
        </w:rPr>
      </w:pPr>
    </w:p>
    <w:p w:rsidR="0005748D" w:rsidRPr="00695919" w:rsidRDefault="0005748D" w:rsidP="00E77617">
      <w:pPr>
        <w:spacing w:line="276" w:lineRule="auto"/>
        <w:ind w:firstLine="720"/>
        <w:jc w:val="both"/>
        <w:rPr>
          <w:rFonts w:ascii="Times New Arabic" w:hAnsi="Times New Arabic"/>
          <w:lang w:val="en-US"/>
        </w:rPr>
      </w:pPr>
    </w:p>
    <w:p w:rsidR="0005748D" w:rsidRPr="00695919" w:rsidRDefault="0005748D" w:rsidP="00E77617">
      <w:pPr>
        <w:spacing w:line="276" w:lineRule="auto"/>
        <w:ind w:firstLine="720"/>
        <w:jc w:val="both"/>
        <w:rPr>
          <w:rFonts w:ascii="Times New Arabic" w:hAnsi="Times New Arabic"/>
          <w:lang w:val="en-US"/>
        </w:rPr>
      </w:pPr>
    </w:p>
    <w:sectPr w:rsidR="0005748D" w:rsidRPr="00695919" w:rsidSect="00A756D6">
      <w:footerReference w:type="default" r:id="rId9"/>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8F1" w:rsidRDefault="009C68F1" w:rsidP="00B227FF">
      <w:pPr>
        <w:spacing w:after="0" w:line="240" w:lineRule="auto"/>
      </w:pPr>
      <w:r>
        <w:separator/>
      </w:r>
    </w:p>
  </w:endnote>
  <w:endnote w:type="continuationSeparator" w:id="0">
    <w:p w:rsidR="009C68F1" w:rsidRDefault="009C68F1" w:rsidP="00B2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908653"/>
      <w:docPartObj>
        <w:docPartGallery w:val="Page Numbers (Bottom of Page)"/>
        <w:docPartUnique/>
      </w:docPartObj>
    </w:sdtPr>
    <w:sdtEndPr>
      <w:rPr>
        <w:noProof/>
      </w:rPr>
    </w:sdtEndPr>
    <w:sdtContent>
      <w:p w:rsidR="00392C90" w:rsidRDefault="00392C90">
        <w:pPr>
          <w:pStyle w:val="Footer"/>
          <w:jc w:val="center"/>
        </w:pPr>
        <w:r>
          <w:fldChar w:fldCharType="begin"/>
        </w:r>
        <w:r>
          <w:instrText xml:space="preserve"> PAGE   \* MERGEFORMAT </w:instrText>
        </w:r>
        <w:r>
          <w:fldChar w:fldCharType="separate"/>
        </w:r>
        <w:r w:rsidR="002A7993">
          <w:rPr>
            <w:noProof/>
          </w:rPr>
          <w:t>27</w:t>
        </w:r>
        <w:r>
          <w:rPr>
            <w:noProof/>
          </w:rPr>
          <w:fldChar w:fldCharType="end"/>
        </w:r>
      </w:p>
    </w:sdtContent>
  </w:sdt>
  <w:p w:rsidR="00392C90" w:rsidRDefault="0039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8F1" w:rsidRDefault="009C68F1" w:rsidP="00B227FF">
      <w:pPr>
        <w:spacing w:after="0" w:line="240" w:lineRule="auto"/>
      </w:pPr>
      <w:r>
        <w:separator/>
      </w:r>
    </w:p>
  </w:footnote>
  <w:footnote w:type="continuationSeparator" w:id="0">
    <w:p w:rsidR="009C68F1" w:rsidRDefault="009C68F1" w:rsidP="00B227FF">
      <w:pPr>
        <w:spacing w:after="0" w:line="240" w:lineRule="auto"/>
      </w:pPr>
      <w:r>
        <w:continuationSeparator/>
      </w:r>
    </w:p>
  </w:footnote>
  <w:footnote w:id="1">
    <w:p w:rsidR="00DD2E44" w:rsidRPr="00DD2E44" w:rsidRDefault="00BD0BA3" w:rsidP="00F60299">
      <w:pPr>
        <w:pStyle w:val="FootnoteText"/>
        <w:jc w:val="both"/>
      </w:pPr>
      <w:r>
        <w:rPr>
          <w:rStyle w:val="FootnoteReference"/>
        </w:rPr>
        <w:footnoteRef/>
      </w:r>
      <w:r>
        <w:t xml:space="preserve"> </w:t>
      </w:r>
      <w:r w:rsidR="00CC17A6">
        <w:fldChar w:fldCharType="begin" w:fldLock="1"/>
      </w:r>
      <w:r w:rsidR="00DD2E44">
        <w:instrText>ADDIN CSL_CITATION {"citationItems":[{"id":"ITEM-1","itemData":{"author":[{"dropping-particle":"","family":"Maulida Indriani","given":"","non-dropping-particle":"","parse-names":false,"suffix":""}],"container-title":"Gema Keadilan","id":"ITEM-1","issue":"1","issued":{"date-parts":[["2016"]]},"page":"74-85","title":"Peran Tenaga Kerja Indonesia dalam Pembangunan Ekonomi Nasional","type":"article-journal","volume":"3"},"uris":["http://www.mendeley.com/documents/?uuid=2409f3aa-88aa-4295-94d0-eea633e3333f"]}],"mendeley":{"formattedCitation":"Maulida Indriani, “Peran Tenaga Kerja Indonesia Dalam Pembangunan Ekonomi Nasional,” &lt;i&gt;Gema Keadilan&lt;/i&gt; 3, no. 1 (2016): 74–85.","manualFormatting":"Maulida Indriani, “Peran Tenaga Kerja Indonesia Dalam Pembangunan Ekonomi Nasional,” Gema Keadilan 3, no. 1 (2016): 74.","plainTextFormattedCitation":"Maulida Indriani, “Peran Tenaga Kerja Indonesia Dalam Pembangunan Ekonomi Nasional,” Gema Keadilan 3, no. 1 (2016): 74–85.","previouslyFormattedCitation":"Maulida Indriani, “Peran Tenaga Kerja Indonesia Dalam Pembangunan Ekonomi Nasional,” &lt;i&gt;Gema Keadilan&lt;/i&gt; 3, no. 1 (2016): 74–85."},"properties":{"noteIndex":1},"schema":"https://github.com/citation-style-language/schema/raw/master/csl-citation.json"}</w:instrText>
      </w:r>
      <w:r w:rsidR="00CC17A6">
        <w:fldChar w:fldCharType="separate"/>
      </w:r>
      <w:r w:rsidR="00CC17A6" w:rsidRPr="00CC17A6">
        <w:rPr>
          <w:noProof/>
        </w:rPr>
        <w:t xml:space="preserve">Maulida Indriani, “Peran Tenaga Kerja Indonesia Dalam Pembangunan Ekonomi Nasional,” </w:t>
      </w:r>
      <w:r w:rsidR="00CC17A6" w:rsidRPr="00CC17A6">
        <w:rPr>
          <w:i/>
          <w:noProof/>
        </w:rPr>
        <w:t>Gema Keadilan</w:t>
      </w:r>
      <w:r w:rsidR="00CC17A6" w:rsidRPr="00CC17A6">
        <w:rPr>
          <w:noProof/>
        </w:rPr>
        <w:t xml:space="preserve"> 3, no. 1 (2016): 74.</w:t>
      </w:r>
      <w:r w:rsidR="00CC17A6">
        <w:fldChar w:fldCharType="end"/>
      </w:r>
    </w:p>
  </w:footnote>
  <w:footnote w:id="2">
    <w:p w:rsidR="00072D4C" w:rsidRPr="00072D4C" w:rsidRDefault="00072D4C" w:rsidP="00F60299">
      <w:pPr>
        <w:pStyle w:val="FootnoteText"/>
        <w:jc w:val="both"/>
        <w:rPr>
          <w:lang w:val="en-US"/>
        </w:rPr>
      </w:pPr>
      <w:r>
        <w:rPr>
          <w:rStyle w:val="FootnoteReference"/>
        </w:rPr>
        <w:footnoteRef/>
      </w:r>
      <w:r>
        <w:t xml:space="preserve"> </w:t>
      </w:r>
      <w:r w:rsidR="00DD2E44">
        <w:fldChar w:fldCharType="begin" w:fldLock="1"/>
      </w:r>
      <w:r w:rsidR="00773BC3">
        <w:instrText>ADDIN CSL_CITATION {"citationItems":[{"id":"ITEM-1","itemData":{"DOI":"https://doi.org/10.35968/.v6i0.754","author":[{"dropping-particle":"","family":"Niru Anita Sinaga dan Tiberius Zaluchu","given":"","non-dropping-particle":"","parse-names":false,"suffix":""}],"container-title":"JURNAL TEKNOLOGI INDUSTRI","id":"ITEM-1","issue":"1","issued":{"date-parts":[["2017"]]},"page":"56-70","title":"PERLINDUNGAN HUKUM HAK-HAK PEKERJA DALAM HUBUNGAN KETENAGAKERJAAN DI INDONESIA","type":"article-journal","volume":"6"},"uris":["http://www.mendeley.com/documents/?uuid=582eee95-58b1-4e88-93a1-00f6e2cb2256"]}],"mendeley":{"formattedCitation":"Niru Anita Sinaga dan Tiberius Zaluchu, “PERLINDUNGAN HUKUM HAK-HAK PEKERJA DALAM HUBUNGAN KETENAGAKERJAAN DI INDONESIA,” &lt;i&gt;JURNAL TEKNOLOGI INDUSTRI&lt;/i&gt; 6, no. 1 (2017): 56–70, https://doi.org/https://doi.org/10.35968/.v6i0.754.","manualFormatting":"Niru Anita Sinaga dan Tiberius Zaluchu, “Perlindungan Hukum Hak-Hak Pekerja dalam Hubungan Ketenagakerjaan Di Indonesia,” JURNAL TEKNOLOGI INDUSTRI 6, no. 1 (2017): 57, https://doi.org/https://doi.org/10.35968/.v6i0.754.","plainTextFormattedCitation":"Niru Anita Sinaga dan Tiberius Zaluchu, “PERLINDUNGAN HUKUM HAK-HAK PEKERJA DALAM HUBUNGAN KETENAGAKERJAAN DI INDONESIA,” JURNAL TEKNOLOGI INDUSTRI 6, no. 1 (2017): 56–70, https://doi.org/https://doi.org/10.35968/.v6i0.754.","previouslyFormattedCitation":"Niru Anita Sinaga dan Tiberius Zaluchu, “PERLINDUNGAN HUKUM HAK-HAK PEKERJA DALAM HUBUNGAN KETENAGAKERJAAN DI INDONESIA,” &lt;i&gt;JURNAL TEKNOLOGI INDUSTRI&lt;/i&gt; 6, no. 1 (2017): 56–70, https://doi.org/https://doi.org/10.35968/.v6i0.754."},"properties":{"noteIndex":2},"schema":"https://github.com/citation-style-language/schema/raw/master/csl-citation.json"}</w:instrText>
      </w:r>
      <w:r w:rsidR="00DD2E44">
        <w:fldChar w:fldCharType="separate"/>
      </w:r>
      <w:r w:rsidR="00DD2E44" w:rsidRPr="00DD2E44">
        <w:rPr>
          <w:noProof/>
        </w:rPr>
        <w:t>Niru Anita Sinaga dan Tiberius Zaluchu, “Perl</w:t>
      </w:r>
      <w:r w:rsidR="00DD2E44">
        <w:rPr>
          <w:noProof/>
        </w:rPr>
        <w:t>indungan Hukum Hak-Hak Pekerja d</w:t>
      </w:r>
      <w:r w:rsidR="00DD2E44" w:rsidRPr="00DD2E44">
        <w:rPr>
          <w:noProof/>
        </w:rPr>
        <w:t xml:space="preserve">alam Hubungan Ketenagakerjaan Di Indonesia,” </w:t>
      </w:r>
      <w:r w:rsidR="00DD2E44" w:rsidRPr="00DD2E44">
        <w:rPr>
          <w:i/>
          <w:noProof/>
        </w:rPr>
        <w:t>JURNAL TEKNOLOGI INDUSTRI</w:t>
      </w:r>
      <w:r w:rsidR="00DD2E44" w:rsidRPr="00DD2E44">
        <w:rPr>
          <w:noProof/>
        </w:rPr>
        <w:t xml:space="preserve"> 6, no. 1 (2017): 5</w:t>
      </w:r>
      <w:r w:rsidR="00DD2E44">
        <w:rPr>
          <w:noProof/>
        </w:rPr>
        <w:t>7</w:t>
      </w:r>
      <w:r w:rsidR="00DD2E44" w:rsidRPr="00DD2E44">
        <w:rPr>
          <w:noProof/>
        </w:rPr>
        <w:t>, https://doi.org/https://doi.org/10.35968/.v6i0.754.</w:t>
      </w:r>
      <w:r w:rsidR="00DD2E44">
        <w:fldChar w:fldCharType="end"/>
      </w:r>
    </w:p>
  </w:footnote>
  <w:footnote w:id="3">
    <w:p w:rsidR="00F05AAA" w:rsidRPr="00F05AAA" w:rsidRDefault="00F05AAA" w:rsidP="00444D63">
      <w:pPr>
        <w:pStyle w:val="FootnoteText"/>
        <w:jc w:val="both"/>
      </w:pPr>
      <w:r>
        <w:rPr>
          <w:rStyle w:val="FootnoteReference"/>
        </w:rPr>
        <w:footnoteRef/>
      </w:r>
      <w:r>
        <w:t xml:space="preserve"> </w:t>
      </w:r>
      <w:r w:rsidR="00773BC3">
        <w:fldChar w:fldCharType="begin" w:fldLock="1"/>
      </w:r>
      <w:r w:rsidR="00773BC3">
        <w:instrText>ADDIN CSL_CITATION {"citationItems":[{"id":"ITEM-1","itemData":{"author":[{"dropping-particle":"","family":"Arifin","given":"Syarif","non-dropping-particle":"","parse-names":false,"suffix":""}],"container-title":"Sedane Majalah Perburuhan","id":"ITEM-1","issued":{"date-parts":[["0","4"]]},"title":"FSBKU Bertahan di Tengah Gempuran Sistem Kerja Kontrak","type":"article-magazine"},"uris":["http://www.mendeley.com/documents/?uuid=4c227684-2cb8-4b29-a59d-9defb8574f4e"]}],"mendeley":{"formattedCitation":"Syarif Arifin, “FSBKU Bertahan Di Tengah Gempuran Sistem Kerja Kontrak,” &lt;i&gt;Sedane Majalah Perburuhan&lt;/i&gt;, April , https://majalahsedane.org/fsbku-bertahan-di-tengah-gempuran-sistem-kerja-kontrak/.","manualFormatting":"Syarif Arifin, “FSBKU Bertahan di Tengah Gempuran Sistem Kerja Kontrak,” Sedane Majalah Perburuhan, 1 April 2006, diakses 5 September 2022, https://majalahsedane.org/fsbku-bertahan-di-tengah-gempuran-sistem-kerja-kontrak/.","plainTextFormattedCitation":"Syarif Arifin, “FSBKU Bertahan Di Tengah Gempuran Sistem Kerja Kontrak,” Sedane Majalah Perburuhan, April , https://majalahsedane.org/fsbku-bertahan-di-tengah-gempuran-sistem-kerja-kontrak/.","previouslyFormattedCitation":"Syarif Arifin, “FSBKU Bertahan Di Tengah Gempuran Sistem Kerja Kontrak,” &lt;i&gt;Sedane Majalah Perburuhan&lt;/i&gt;, April , https://majalahsedane.org/fsbku-bertahan-di-tengah-gempuran-sistem-kerja-kontrak/."},"properties":{"noteIndex":3},"schema":"https://github.com/citation-style-language/schema/raw/master/csl-citation.json"}</w:instrText>
      </w:r>
      <w:r w:rsidR="00773BC3">
        <w:fldChar w:fldCharType="separate"/>
      </w:r>
      <w:r w:rsidR="00773BC3">
        <w:rPr>
          <w:noProof/>
        </w:rPr>
        <w:t>Syarif Arifin, “FSBKU Bertahan d</w:t>
      </w:r>
      <w:r w:rsidR="00773BC3" w:rsidRPr="00773BC3">
        <w:rPr>
          <w:noProof/>
        </w:rPr>
        <w:t xml:space="preserve">i Tengah Gempuran Sistem Kerja Kontrak,” </w:t>
      </w:r>
      <w:r w:rsidR="00773BC3" w:rsidRPr="00773BC3">
        <w:rPr>
          <w:i/>
          <w:noProof/>
        </w:rPr>
        <w:t>Sedane Majalah Perburuhan</w:t>
      </w:r>
      <w:r w:rsidR="00773BC3" w:rsidRPr="00773BC3">
        <w:rPr>
          <w:noProof/>
        </w:rPr>
        <w:t xml:space="preserve">, </w:t>
      </w:r>
      <w:r w:rsidR="00F34D73">
        <w:rPr>
          <w:noProof/>
        </w:rPr>
        <w:t>ac</w:t>
      </w:r>
      <w:r w:rsidR="00444D63">
        <w:rPr>
          <w:noProof/>
        </w:rPr>
        <w:t>cessed</w:t>
      </w:r>
      <w:r w:rsidR="00773BC3">
        <w:rPr>
          <w:noProof/>
        </w:rPr>
        <w:t xml:space="preserve"> September</w:t>
      </w:r>
      <w:r w:rsidR="00444D63">
        <w:rPr>
          <w:noProof/>
        </w:rPr>
        <w:t xml:space="preserve"> 5,</w:t>
      </w:r>
      <w:r w:rsidR="00773BC3">
        <w:rPr>
          <w:noProof/>
        </w:rPr>
        <w:t xml:space="preserve"> 2022,</w:t>
      </w:r>
      <w:r w:rsidR="00773BC3" w:rsidRPr="00773BC3">
        <w:rPr>
          <w:noProof/>
        </w:rPr>
        <w:t xml:space="preserve"> https://majalahsedane.org/fsbku-bertahan-di-tengah-gempuran-sistem-kerja-kontrak/.</w:t>
      </w:r>
      <w:r w:rsidR="00773BC3">
        <w:fldChar w:fldCharType="end"/>
      </w:r>
    </w:p>
  </w:footnote>
  <w:footnote w:id="4">
    <w:p w:rsidR="009611FE" w:rsidRPr="009611FE" w:rsidRDefault="009611FE" w:rsidP="00F60299">
      <w:pPr>
        <w:pStyle w:val="FootnoteText"/>
        <w:jc w:val="both"/>
        <w:rPr>
          <w:lang w:val="en-US"/>
        </w:rPr>
      </w:pPr>
      <w:r>
        <w:rPr>
          <w:rStyle w:val="FootnoteReference"/>
        </w:rPr>
        <w:footnoteRef/>
      </w:r>
      <w:r>
        <w:t xml:space="preserve"> </w:t>
      </w:r>
      <w:r w:rsidR="00773BC3">
        <w:fldChar w:fldCharType="begin" w:fldLock="1"/>
      </w:r>
      <w:r w:rsidR="004C6339">
        <w:instrText>ADDIN CSL_CITATION {"citationItems":[{"id":"ITEM-1","itemData":{"author":[{"dropping-particle":"","family":"Sengkey","given":"Marssel Michael","non-dropping-particle":"","parse-names":false,"suffix":""}],"container-title":"Seurune","id":"ITEM-1","issue":"2","issued":{"date-parts":[["2020"]]},"page":"1 - 21","title":"KESEJAHTERAAN SUBJEKTIF PEKERJA KONTRAK (PKWT)","type":"article-journal","volume":"3"},"uris":["http://www.mendeley.com/documents/?uuid=8a75faa8-9e5c-48ae-a9a6-dab90e1c0f47"]}],"mendeley":{"formattedCitation":"Marssel Michael Sengkey, “KESEJAHTERAAN SUBJEKTIF PEKERJA KONTRAK (PKWT),” &lt;i&gt;Seurune&lt;/i&gt; 3, no. 2 (2020): 1–21.","manualFormatting":"Marssel Michael Sengkey, “Kesejahteraan Subjektif Pekerja Kontrak (PKWT),” Seurune 3, no. 2 (2020):3.","plainTextFormattedCitation":"Marssel Michael Sengkey, “KESEJAHTERAAN SUBJEKTIF PEKERJA KONTRAK (PKWT),” Seurune 3, no. 2 (2020): 1–21.","previouslyFormattedCitation":"Marssel Michael Sengkey, “KESEJAHTERAAN SUBJEKTIF PEKERJA KONTRAK (PKWT),” &lt;i&gt;Seurune&lt;/i&gt; 3, no. 2 (2020): 1–21."},"properties":{"noteIndex":4},"schema":"https://github.com/citation-style-language/schema/raw/master/csl-citation.json"}</w:instrText>
      </w:r>
      <w:r w:rsidR="00773BC3">
        <w:fldChar w:fldCharType="separate"/>
      </w:r>
      <w:r w:rsidR="00773BC3" w:rsidRPr="00773BC3">
        <w:rPr>
          <w:noProof/>
        </w:rPr>
        <w:t xml:space="preserve">Marssel Michael Sengkey, “Kesejahteraan Subjektif Pekerja Kontrak (PKWT),” </w:t>
      </w:r>
      <w:r w:rsidR="00773BC3" w:rsidRPr="00773BC3">
        <w:rPr>
          <w:i/>
          <w:noProof/>
        </w:rPr>
        <w:t>Seurune</w:t>
      </w:r>
      <w:r w:rsidR="00773BC3" w:rsidRPr="00773BC3">
        <w:rPr>
          <w:noProof/>
        </w:rPr>
        <w:t xml:space="preserve"> 3, no. 2 (2020):</w:t>
      </w:r>
      <w:r w:rsidR="004C6339">
        <w:rPr>
          <w:noProof/>
        </w:rPr>
        <w:t>3</w:t>
      </w:r>
      <w:r w:rsidR="00773BC3" w:rsidRPr="00773BC3">
        <w:rPr>
          <w:noProof/>
        </w:rPr>
        <w:t>.</w:t>
      </w:r>
      <w:r w:rsidR="00773BC3">
        <w:fldChar w:fldCharType="end"/>
      </w:r>
    </w:p>
  </w:footnote>
  <w:footnote w:id="5">
    <w:p w:rsidR="00E73A2D" w:rsidRPr="00E73A2D" w:rsidRDefault="00E73A2D" w:rsidP="00444D63">
      <w:pPr>
        <w:pStyle w:val="FootnoteText"/>
        <w:jc w:val="both"/>
      </w:pPr>
      <w:r>
        <w:rPr>
          <w:rStyle w:val="FootnoteReference"/>
        </w:rPr>
        <w:footnoteRef/>
      </w:r>
      <w:r>
        <w:t xml:space="preserve"> </w:t>
      </w:r>
      <w:r w:rsidR="004C6339">
        <w:fldChar w:fldCharType="begin" w:fldLock="1"/>
      </w:r>
      <w:r w:rsidR="00E313A3">
        <w:instrText>ADDIN CSL_CITATION {"citationItems":[{"id":"ITEM-1","itemData":{"URL":"https://lbhyogyakarta.org/2016/05/13/perjuangan-buruh-mencapai-hidup-sejahtera/","accessed":{"date-parts":[["2022","9","5"]]},"author":[{"dropping-particle":"","family":"LBH Yogyakarta","given":"","non-dropping-particle":"","parse-names":false,"suffix":""}],"container-title":"LBH Yogyakarta","id":"ITEM-1","issued":{"date-parts":[["2016"]]},"title":"Perjuangan Buruh Mencapai Hidup Sejahtera","type":"webpage"},"uris":["http://www.mendeley.com/documents/?uuid=d2b70521-ff97-4959-a6b7-0ab72deda49d"]}],"mendeley":{"formattedCitation":"LBH Yogyakarta, “Perjuangan Buruh Mencapai Hidup Sejahtera,” LBH Yogyakarta, 2016, https://lbhyogyakarta.org/2016/05/13/perjuangan-buruh-mencapai-hidup-sejahtera/.","manualFormatting":"LBH Yogyakarta, “Perjuangan Buruh Mencapai Hidup Sejahtera,” LBH Yogyakarta, 13 Mei 2016, diakses 5 September 2022, https://lbhyogyakarta.org/2016/05/13/perjuangan-buruh-mencapai-hidup-sejahtera/.","plainTextFormattedCitation":"LBH Yogyakarta, “Perjuangan Buruh Mencapai Hidup Sejahtera,” LBH Yogyakarta, 2016, https://lbhyogyakarta.org/2016/05/13/perjuangan-buruh-mencapai-hidup-sejahtera/.","previouslyFormattedCitation":"LBH Yogyakarta, “Perjuangan Buruh Mencapai Hidup Sejahtera,” LBH Yogyakarta, 2016, https://lbhyogyakarta.org/2016/05/13/perjuangan-buruh-mencapai-hidup-sejahtera/."},"properties":{"noteIndex":5},"schema":"https://github.com/citation-style-language/schema/raw/master/csl-citation.json"}</w:instrText>
      </w:r>
      <w:r w:rsidR="004C6339">
        <w:fldChar w:fldCharType="separate"/>
      </w:r>
      <w:r w:rsidR="004C6339" w:rsidRPr="004C6339">
        <w:rPr>
          <w:noProof/>
        </w:rPr>
        <w:t xml:space="preserve">LBH Yogyakarta, “Perjuangan Buruh Mencapai Hidup Sejahtera,” LBH Yogyakarta, </w:t>
      </w:r>
      <w:r w:rsidR="00444D63">
        <w:rPr>
          <w:noProof/>
        </w:rPr>
        <w:t>accessed</w:t>
      </w:r>
      <w:r w:rsidR="004C6339" w:rsidRPr="00524527">
        <w:rPr>
          <w:rFonts w:ascii="Times New Roman" w:hAnsi="Times New Roman" w:cs="Times New Roman"/>
          <w:noProof/>
        </w:rPr>
        <w:t xml:space="preserve"> September</w:t>
      </w:r>
      <w:r w:rsidR="00444D63">
        <w:rPr>
          <w:rFonts w:ascii="Times New Roman" w:hAnsi="Times New Roman" w:cs="Times New Roman"/>
          <w:noProof/>
        </w:rPr>
        <w:t xml:space="preserve"> 5,</w:t>
      </w:r>
      <w:r w:rsidR="004C6339" w:rsidRPr="00524527">
        <w:rPr>
          <w:rFonts w:ascii="Times New Roman" w:hAnsi="Times New Roman" w:cs="Times New Roman"/>
          <w:noProof/>
        </w:rPr>
        <w:t xml:space="preserve"> 2022</w:t>
      </w:r>
      <w:r w:rsidR="004C6339" w:rsidRPr="004C6339">
        <w:rPr>
          <w:noProof/>
        </w:rPr>
        <w:t>, https://lbhyogyakarta.org/2016/05/13/perjuangan-buruh-mencapai-hidup-sejahtera/.</w:t>
      </w:r>
      <w:r w:rsidR="004C6339">
        <w:fldChar w:fldCharType="end"/>
      </w:r>
    </w:p>
  </w:footnote>
  <w:footnote w:id="6">
    <w:p w:rsidR="002F22D6" w:rsidRPr="002F22D6" w:rsidRDefault="002F22D6" w:rsidP="00444D63">
      <w:pPr>
        <w:pStyle w:val="FootnoteText"/>
        <w:jc w:val="both"/>
        <w:rPr>
          <w:lang w:val="en-US"/>
        </w:rPr>
      </w:pPr>
      <w:r>
        <w:rPr>
          <w:rStyle w:val="FootnoteReference"/>
        </w:rPr>
        <w:footnoteRef/>
      </w:r>
      <w:r>
        <w:t xml:space="preserve"> </w:t>
      </w:r>
      <w:r w:rsidR="00E313A3">
        <w:fldChar w:fldCharType="begin" w:fldLock="1"/>
      </w:r>
      <w:r w:rsidR="00C97734">
        <w:instrText>ADDIN CSL_CITATION {"citationItems":[{"id":"ITEM-1","itemData":{"URL":"https://www.nu.or.id/nasional/kaleidoskop-2020-kontroversi-pengesahan-uu-cipta-kerja-SowsY","accessed":{"date-parts":[["2020","9","15"]]},"author":[{"dropping-particle":"","family":"Triono","given":"Aru Lego","non-dropping-particle":"","parse-names":false,"suffix":""}],"container-title":"NU Online","id":"ITEM-1","issued":{"date-parts":[["0"]]},"publisher-place":"Jakarta","title":"Kaleidoskop 2020: Kontroversi Pengesahan UU Cipta Kerja","type":"webpage"},"uris":["http://www.mendeley.com/documents/?uuid=eb771dbd-a755-42f1-9b8a-476c314cd85c"]}],"mendeley":{"formattedCitation":"Aru Lego Triono, “Kaleidoskop 2020: Kontroversi Pengesahan UU Cipta Kerja,” NU Online (Jakarta), accessed September 15, 2020, https://www.nu.or.id/nasional/kaleidoskop-2020-kontroversi-pengesahan-uu-cipta-kerja-SowsY.","manualFormatting":"Aru Lego Triono, “Kaleidoskop 2020: Kontroversi Pengesahan UU Cipta Kerja,” NU Online (Jakarta),17 Desember 2020,  diakses 15 September 2022, https://www.nu.or.id/nasional/kaleidoskop-2020-kontroversi-pengesahan-uu-cipta-kerja-SowsY.","plainTextFormattedCitation":"Aru Lego Triono, “Kaleidoskop 2020: Kontroversi Pengesahan UU Cipta Kerja,” NU Online (Jakarta), accessed September 15, 2020, https://www.nu.or.id/nasional/kaleidoskop-2020-kontroversi-pengesahan-uu-cipta-kerja-SowsY.","previouslyFormattedCitation":"Aru Lego Triono, “Kaleidoskop 2020: Kontroversi Pengesahan UU Cipta Kerja,” NU Online (Jakarta), accessed September 15, 2020, https://www.nu.or.id/nasional/kaleidoskop-2020-kontroversi-pengesahan-uu-cipta-kerja-SowsY."},"properties":{"noteIndex":6},"schema":"https://github.com/citation-style-language/schema/raw/master/csl-citation.json"}</w:instrText>
      </w:r>
      <w:r w:rsidR="00E313A3">
        <w:fldChar w:fldCharType="separate"/>
      </w:r>
      <w:r w:rsidR="00E313A3" w:rsidRPr="00E313A3">
        <w:rPr>
          <w:noProof/>
        </w:rPr>
        <w:t>Aru Lego Triono, “Kaleidoskop 2020: Kontroversi Pengesahan UU Cipta Kerja</w:t>
      </w:r>
      <w:r w:rsidR="0097252E">
        <w:rPr>
          <w:noProof/>
        </w:rPr>
        <w:t>,” NU Online (Jakarta),</w:t>
      </w:r>
      <w:r w:rsidR="00444D63">
        <w:rPr>
          <w:noProof/>
        </w:rPr>
        <w:t xml:space="preserve">  accessed</w:t>
      </w:r>
      <w:r w:rsidR="00E313A3" w:rsidRPr="00E313A3">
        <w:rPr>
          <w:noProof/>
        </w:rPr>
        <w:t xml:space="preserve"> September</w:t>
      </w:r>
      <w:r w:rsidR="00444D63">
        <w:rPr>
          <w:noProof/>
        </w:rPr>
        <w:t xml:space="preserve"> 15,</w:t>
      </w:r>
      <w:r w:rsidR="00E313A3" w:rsidRPr="00E313A3">
        <w:rPr>
          <w:noProof/>
        </w:rPr>
        <w:t xml:space="preserve"> </w:t>
      </w:r>
      <w:r w:rsidR="0097252E">
        <w:rPr>
          <w:noProof/>
        </w:rPr>
        <w:t>2022</w:t>
      </w:r>
      <w:r w:rsidR="00E313A3" w:rsidRPr="00E313A3">
        <w:rPr>
          <w:noProof/>
        </w:rPr>
        <w:t>, https://www.nu.or.id/nasional/kaleidoskop-2020-kontroversi-pengesahan-uu-cipta-kerja-SowsY.</w:t>
      </w:r>
      <w:r w:rsidR="00E313A3">
        <w:fldChar w:fldCharType="end"/>
      </w:r>
    </w:p>
  </w:footnote>
  <w:footnote w:id="7">
    <w:p w:rsidR="00E2243A" w:rsidRPr="00C97734" w:rsidRDefault="00E2243A" w:rsidP="00F60299">
      <w:pPr>
        <w:pStyle w:val="FootnoteText"/>
        <w:jc w:val="both"/>
        <w:rPr>
          <w:rFonts w:cstheme="majorBidi"/>
        </w:rPr>
      </w:pPr>
      <w:r>
        <w:rPr>
          <w:rStyle w:val="FootnoteReference"/>
        </w:rPr>
        <w:footnoteRef/>
      </w:r>
      <w:r>
        <w:t xml:space="preserve"> </w:t>
      </w:r>
      <w:r w:rsidR="00B6412E" w:rsidRPr="00C97734">
        <w:rPr>
          <w:rFonts w:cstheme="majorBidi"/>
        </w:rPr>
        <w:t xml:space="preserve">Pasal 8 Ayat (1) </w:t>
      </w:r>
      <w:r w:rsidR="00C97734" w:rsidRPr="00C97734">
        <w:rPr>
          <w:rFonts w:cstheme="majorBidi"/>
        </w:rPr>
        <w:fldChar w:fldCharType="begin" w:fldLock="1"/>
      </w:r>
      <w:r w:rsidR="00C97734">
        <w:rPr>
          <w:rFonts w:cstheme="majorBidi"/>
        </w:rPr>
        <w:instrText>ADDIN CSL_CITATION {"citationItems":[{"id":"ITEM-1","itemData":{"id":"ITEM-1","issued":{"date-parts":[["0"]]},"title":"Peraturan Pemerintah RI Nomor 35 Tahun 2021 tentang Perjanjian Kerja Waktu Tertentu, Alih Daya, Waktu Kerja dan Waktu Istirahat, dan Pemutusan Hubungan Kerja","type":"legislation"},"uris":["http://www.mendeley.com/documents/?uuid=cff7686a-75c0-4806-be66-ea8b19f8a8d1"]}],"mendeley":{"formattedCitation":"“Peraturan Pemerintah RI Nomor 35 Tahun 2021 Tentang Perjanjian Kerja Waktu Tertentu, Alih Daya, Waktu Kerja Dan Waktu Istirahat, Dan Pemutusan Hubungan Kerja” (n.d.).","manualFormatting":"Peraturan Pemerintah RI Nomor 35 Tahun 2021 tentang Perjanjian Kerja Waktu Tertentu, Alih Daya, Waktu Kerja dan Waktu Istirahat, dan Pemutusan Hubungan Kerja (Peraturan Pemerintah Nomor 35 Tahun 2021)","plainTextFormattedCitation":"“Peraturan Pemerintah RI Nomor 35 Tahun 2021 Tentang Perjanjian Kerja Waktu Tertentu, Alih Daya, Waktu Kerja Dan Waktu Istirahat, Dan Pemutusan Hubungan Kerja” (n.d.).","previouslyFormattedCitation":"“Peraturan Pemerintah RI Nomor 35 Tahun 2021 Tentang Perjanjian Kerja Waktu Tertentu, Alih Daya, Waktu Kerja Dan Waktu Istirahat, Dan Pemutusan Hubungan Kerja” (n.d.)."},"properties":{"noteIndex":7},"schema":"https://github.com/citation-style-language/schema/raw/master/csl-citation.json"}</w:instrText>
      </w:r>
      <w:r w:rsidR="00C97734" w:rsidRPr="00C97734">
        <w:rPr>
          <w:rFonts w:cstheme="majorBidi"/>
        </w:rPr>
        <w:fldChar w:fldCharType="separate"/>
      </w:r>
      <w:r w:rsidR="00C97734" w:rsidRPr="00C97734">
        <w:rPr>
          <w:rFonts w:cstheme="majorBidi"/>
          <w:noProof/>
        </w:rPr>
        <w:t>Peraturan Pemerintah RI Nomor 35 Tahun 2021 tentang Perjanjian Kerja Waktu Tertentu, Alih Daya, Waktu Kerja dan Waktu Istirahat, dan Pemutusan Hubungan Kerja (Peraturan Pemerintah Nomor 35 Tahun 2021)</w:t>
      </w:r>
      <w:r w:rsidR="00C97734" w:rsidRPr="00C97734">
        <w:rPr>
          <w:rFonts w:cstheme="majorBidi"/>
        </w:rPr>
        <w:fldChar w:fldCharType="end"/>
      </w:r>
      <w:r w:rsidR="00C97734" w:rsidRPr="00C97734">
        <w:rPr>
          <w:rFonts w:cstheme="majorBidi"/>
        </w:rPr>
        <w:t xml:space="preserve"> </w:t>
      </w:r>
      <w:r w:rsidR="00C97734">
        <w:rPr>
          <w:rFonts w:cstheme="majorBidi"/>
        </w:rPr>
        <w:t>d</w:t>
      </w:r>
      <w:r w:rsidR="00C97734" w:rsidRPr="00C97734">
        <w:rPr>
          <w:rFonts w:cstheme="majorBidi"/>
        </w:rPr>
        <w:t xml:space="preserve">isebutkan </w:t>
      </w:r>
      <w:r w:rsidR="00B6412E" w:rsidRPr="00C97734">
        <w:rPr>
          <w:rFonts w:cstheme="majorBidi"/>
        </w:rPr>
        <w:t xml:space="preserve">bahwa PKWT berdasarkan jangka waktu sebagaimana dimaksud dalam Pasal 5 ayat (1) dapat dibuat untuk paling lama 5 (lima) tahun. </w:t>
      </w:r>
      <w:r w:rsidR="00C97734" w:rsidRPr="00C97734">
        <w:rPr>
          <w:rFonts w:ascii="Times New Roman" w:hAnsi="Times New Roman" w:cs="Times New Roman"/>
        </w:rPr>
        <w:t>Adapun jenis PKWT berdasarkan selesainya suatu pekerjaan tertentu</w:t>
      </w:r>
      <w:r w:rsidR="00864ABE" w:rsidRPr="00C97734">
        <w:rPr>
          <w:rFonts w:ascii="Times New Roman" w:hAnsi="Times New Roman" w:cs="Times New Roman"/>
        </w:rPr>
        <w:t xml:space="preserve">, lamanya perjanjian kerja diatur di dalam Pasal 9 Ayat (1) </w:t>
      </w:r>
      <w:r w:rsidR="00C97734" w:rsidRPr="00C97734">
        <w:rPr>
          <w:rFonts w:cstheme="majorBidi"/>
          <w:noProof/>
        </w:rPr>
        <w:t>Peraturan Pemerintah Nomor 35 Tahun 2021</w:t>
      </w:r>
      <w:r w:rsidR="00864ABE" w:rsidRPr="00C97734">
        <w:rPr>
          <w:rFonts w:ascii="Times New Roman" w:hAnsi="Times New Roman" w:cs="Times New Roman"/>
        </w:rPr>
        <w:t>yaitu didasarkan atas kesepakatan para pihak yang dituangkan dalam perjanjian kerja</w:t>
      </w:r>
      <w:r w:rsidR="00C97734" w:rsidRPr="00C97734">
        <w:rPr>
          <w:rFonts w:ascii="Times New Roman" w:hAnsi="Times New Roman" w:cs="Times New Roman"/>
        </w:rPr>
        <w:t xml:space="preserve">. </w:t>
      </w:r>
    </w:p>
  </w:footnote>
  <w:footnote w:id="8">
    <w:p w:rsidR="00E2243A" w:rsidRPr="00E2243A" w:rsidRDefault="00E2243A" w:rsidP="00F60299">
      <w:pPr>
        <w:pStyle w:val="FootnoteText"/>
        <w:jc w:val="both"/>
        <w:rPr>
          <w:lang w:val="en-US"/>
        </w:rPr>
      </w:pPr>
      <w:r w:rsidRPr="00C97734">
        <w:rPr>
          <w:rStyle w:val="FootnoteReference"/>
        </w:rPr>
        <w:footnoteRef/>
      </w:r>
      <w:r>
        <w:t xml:space="preserve"> </w:t>
      </w:r>
      <w:r w:rsidR="00C97734" w:rsidRPr="00C97734">
        <w:rPr>
          <w:rFonts w:ascii="Times New Roman" w:hAnsi="Times New Roman" w:cs="Times New Roman"/>
          <w:color w:val="000000" w:themeColor="text1"/>
        </w:rPr>
        <w:t xml:space="preserve">Pasal 81 Ayat 13 </w:t>
      </w:r>
      <w:r w:rsidR="00C97734" w:rsidRPr="00C97734">
        <w:rPr>
          <w:rFonts w:cstheme="majorBidi"/>
        </w:rPr>
        <w:t>U</w:t>
      </w:r>
      <w:r w:rsidR="00C97734" w:rsidRPr="00C97734">
        <w:rPr>
          <w:rFonts w:cstheme="majorBidi"/>
          <w:lang w:val="id-ID"/>
        </w:rPr>
        <w:t>ndang-Undang</w:t>
      </w:r>
      <w:r w:rsidR="00C97734" w:rsidRPr="00C97734">
        <w:rPr>
          <w:rFonts w:ascii="Times New Roman" w:hAnsi="Times New Roman" w:cs="Times New Roman"/>
          <w:color w:val="000000" w:themeColor="text1"/>
        </w:rPr>
        <w:t xml:space="preserve"> Cipta Kerja. Kendati Undang-Undang Cipta Kerja mensyaratkan PKWT dibuat secara tertulis, tetapi tidak ada akibat hukum apabila PKWT dibuat secara tidak tertulis.</w:t>
      </w:r>
    </w:p>
  </w:footnote>
  <w:footnote w:id="9">
    <w:p w:rsidR="00C522AD" w:rsidRPr="00DA4610" w:rsidRDefault="00C522AD" w:rsidP="00444D63">
      <w:pPr>
        <w:pStyle w:val="FootnoteText"/>
        <w:jc w:val="both"/>
        <w:rPr>
          <w:lang w:val="en-US"/>
        </w:rPr>
      </w:pPr>
      <w:r>
        <w:rPr>
          <w:rStyle w:val="FootnoteReference"/>
        </w:rPr>
        <w:footnoteRef/>
      </w:r>
      <w:r>
        <w:t xml:space="preserve"> </w:t>
      </w:r>
      <w:r w:rsidR="00C97734">
        <w:fldChar w:fldCharType="begin" w:fldLock="1"/>
      </w:r>
      <w:r w:rsidR="00C97734">
        <w:instrText>ADDIN CSL_CITATION {"citationItems":[{"id":"ITEM-1","itemData":{"URL":"https://www.hukumonline.com/berita/a/prof-aloysius-uwiyono--pengaturan-pkwt-dalam-uu-cipta-kerja-belum-berkeadilan-lt6054c2939ca00/?page=all","accessed":{"date-parts":[["2022","3","30"]]},"author":[{"dropping-particle":"","family":"Ady Thea DA","given":"","non-dropping-particle":"","parse-names":false,"suffix":""}],"container-title":"hukumonline.com","id":"ITEM-1","issued":{"date-parts":[["2021"]]},"title":"Prof Aloysius Uwiyono: Pengaturan PKWT Dalam UU Cipta Kerja Belum Berkeadilan","type":"webpage"},"uris":["http://www.mendeley.com/documents/?uuid=2db29793-7b77-495e-b64c-0b12461d7c08"]}],"mendeley":{"formattedCitation":"Ady Thea DA, “Prof Aloysius Uwiyono: Pengaturan PKWT Dalam UU Cipta Kerja Belum Berkeadilan,” hukumonline.com, 2021, https://www.hukumonline.com/berita/a/prof-aloysius-uwiyono--pengaturan-pkwt-dalam-uu-cipta-kerja-belum-berkeadilan-lt6054c2939ca00/?page=all.","manualFormatting":"Ady Thea DA, “Prof Aloysius Uwiyono: Pengaturan PKWT Dalam UU Cipta Kerja Belum Berkeadilan,” hukumonline.com,20 Maret 2021,diakses pada 15 September 2022, https://www.hukumonline.com/berita/a/prof-aloysius-uwiyono--pengaturan-pkwt-dalam-uu-cipta-kerja-belum-berkeadilan-lt6054c2939ca00/?page=all.","plainTextFormattedCitation":"Ady Thea DA, “Prof Aloysius Uwiyono: Pengaturan PKWT Dalam UU Cipta Kerja Belum Berkeadilan,” hukumonline.com, 2021, https://www.hukumonline.com/berita/a/prof-aloysius-uwiyono--pengaturan-pkwt-dalam-uu-cipta-kerja-belum-berkeadilan-lt6054c2939ca00/?page=all.","previouslyFormattedCitation":"Ady Thea DA, “Prof Aloysius Uwiyono: Pengaturan PKWT Dalam UU Cipta Kerja Belum Berkeadilan,” hukumonline.com, 2021, https://www.hukumonline.com/berita/a/prof-aloysius-uwiyono--pengaturan-pkwt-dalam-uu-cipta-kerja-belum-berkeadilan-lt6054c2939ca00/?page=all."},"properties":{"noteIndex":9},"schema":"https://github.com/citation-style-language/schema/raw/master/csl-citation.json"}</w:instrText>
      </w:r>
      <w:r w:rsidR="00C97734">
        <w:fldChar w:fldCharType="separate"/>
      </w:r>
      <w:r w:rsidR="00C97734" w:rsidRPr="00C97734">
        <w:rPr>
          <w:noProof/>
        </w:rPr>
        <w:t>Ady Thea DA, “Prof Aloysius Uwiyono: Pengaturan PKWT Dalam UU Cipta Kerja Belum Berkeadilan,” hukumonline.com,</w:t>
      </w:r>
      <w:r w:rsidR="00444D63">
        <w:rPr>
          <w:noProof/>
        </w:rPr>
        <w:t xml:space="preserve"> accessed</w:t>
      </w:r>
      <w:r w:rsidR="00C97734">
        <w:rPr>
          <w:noProof/>
        </w:rPr>
        <w:t xml:space="preserve"> September</w:t>
      </w:r>
      <w:r w:rsidR="00444D63">
        <w:rPr>
          <w:noProof/>
        </w:rPr>
        <w:t xml:space="preserve"> 15,</w:t>
      </w:r>
      <w:r w:rsidR="00C97734">
        <w:rPr>
          <w:noProof/>
        </w:rPr>
        <w:t xml:space="preserve"> 2022,</w:t>
      </w:r>
      <w:r w:rsidR="00C97734" w:rsidRPr="00C97734">
        <w:rPr>
          <w:noProof/>
        </w:rPr>
        <w:t xml:space="preserve"> https://www.hukumonline.com/berita/a/prof-aloysius-uwiyono--pengaturan-pkwt-dalam-uu-cipta-kerja-belum-berkeadilan-lt6054c2939ca00/?page=all.</w:t>
      </w:r>
      <w:r w:rsidR="00C97734">
        <w:fldChar w:fldCharType="end"/>
      </w:r>
    </w:p>
  </w:footnote>
  <w:footnote w:id="10">
    <w:p w:rsidR="00E37FBE" w:rsidRPr="00E37FBE" w:rsidRDefault="00E37FBE" w:rsidP="00F60299">
      <w:pPr>
        <w:pStyle w:val="FootnoteText"/>
        <w:jc w:val="both"/>
        <w:rPr>
          <w:lang w:val="en-US"/>
        </w:rPr>
      </w:pPr>
      <w:r>
        <w:rPr>
          <w:rStyle w:val="FootnoteReference"/>
        </w:rPr>
        <w:footnoteRef/>
      </w:r>
      <w:r>
        <w:t xml:space="preserve"> </w:t>
      </w:r>
      <w:r w:rsidR="00C97734">
        <w:fldChar w:fldCharType="begin" w:fldLock="1"/>
      </w:r>
      <w:r w:rsidR="00C97734">
        <w:instrText>ADDIN CSL_CITATION {"citationItems":[{"id":"ITEM-1","itemData":{"author":[{"dropping-particle":"","family":"Dewa Gede Giri Santosa","given":"","non-dropping-particle":"","parse-names":false,"suffix":""}],"container-title":"Jurnal Ilmu Hukum","id":"ITEM-1","issue":"2","issued":{"date-parts":[["2021"]]},"page":"178 - 191","title":"Perjanjian Kerja Waktu Tertentu Pasca Undang-Undang Cipta Kerja: Implementasi dan Permasalahannya","type":"article-journal","volume":"17"},"uris":["http://www.mendeley.com/documents/?uuid=bd5dba02-075b-462e-9c21-93b8526df1ab"]}],"mendeley":{"formattedCitation":"Dewa Gede Giri Santosa, “Perjanjian Kerja Waktu Tertentu Pasca Undang-Undang Cipta Kerja: Implementasi Dan Permasalahannya,” &lt;i&gt;Jurnal Ilmu Hukum&lt;/i&gt; 17, no. 2 (2021): 178–91.","manualFormatting":"Dewa Gede Giri Santosa, “Perjanjian Kerja Waktu Tertentu Pasca Undang-Undang Cipta Kerja: Implementasi Dan Permasalahannya,” Jurnal Ilmu Hukum 17, no. 2 (2021): 178–191.","plainTextFormattedCitation":"Dewa Gede Giri Santosa, “Perjanjian Kerja Waktu Tertentu Pasca Undang-Undang Cipta Kerja: Implementasi Dan Permasalahannya,” Jurnal Ilmu Hukum 17, no. 2 (2021): 178–91.","previouslyFormattedCitation":"Dewa Gede Giri Santosa, “Perjanjian Kerja Waktu Tertentu Pasca Undang-Undang Cipta Kerja: Implementasi Dan Permasalahannya,” &lt;i&gt;Jurnal Ilmu Hukum&lt;/i&gt; 17, no. 2 (2021): 178–91."},"properties":{"noteIndex":10},"schema":"https://github.com/citation-style-language/schema/raw/master/csl-citation.json"}</w:instrText>
      </w:r>
      <w:r w:rsidR="00C97734">
        <w:fldChar w:fldCharType="separate"/>
      </w:r>
      <w:r w:rsidR="00C97734" w:rsidRPr="00C97734">
        <w:rPr>
          <w:noProof/>
        </w:rPr>
        <w:t xml:space="preserve">Dewa Gede Giri Santosa, “Perjanjian Kerja Waktu Tertentu Pasca Undang-Undang Cipta Kerja: Implementasi Dan Permasalahannya,” </w:t>
      </w:r>
      <w:r w:rsidR="00C97734" w:rsidRPr="00C97734">
        <w:rPr>
          <w:i/>
          <w:noProof/>
        </w:rPr>
        <w:t>Jurnal Ilmu Hukum</w:t>
      </w:r>
      <w:r w:rsidR="00C97734" w:rsidRPr="00C97734">
        <w:rPr>
          <w:noProof/>
        </w:rPr>
        <w:t xml:space="preserve"> 17, no. 2 (2021): 178–</w:t>
      </w:r>
      <w:r w:rsidR="00C97734">
        <w:rPr>
          <w:noProof/>
        </w:rPr>
        <w:t>1</w:t>
      </w:r>
      <w:r w:rsidR="00C97734" w:rsidRPr="00C97734">
        <w:rPr>
          <w:noProof/>
        </w:rPr>
        <w:t>91.</w:t>
      </w:r>
      <w:r w:rsidR="00C97734">
        <w:fldChar w:fldCharType="end"/>
      </w:r>
    </w:p>
  </w:footnote>
  <w:footnote w:id="11">
    <w:p w:rsidR="0039763D" w:rsidRPr="0039763D" w:rsidRDefault="0039763D" w:rsidP="00F60299">
      <w:pPr>
        <w:pStyle w:val="FootnoteText"/>
        <w:jc w:val="both"/>
        <w:rPr>
          <w:lang w:val="en-US"/>
        </w:rPr>
      </w:pPr>
      <w:r>
        <w:rPr>
          <w:rStyle w:val="FootnoteReference"/>
        </w:rPr>
        <w:footnoteRef/>
      </w:r>
      <w:r>
        <w:t xml:space="preserve"> </w:t>
      </w:r>
      <w:r w:rsidR="00C97734">
        <w:fldChar w:fldCharType="begin" w:fldLock="1"/>
      </w:r>
      <w:r w:rsidR="004024C9">
        <w:instrText>ADDIN CSL_CITATION {"citationItems":[{"id":"ITEM-1","itemData":{"DOI":"https://doi.org/10.2674/novum.v0i0.41724","author":[{"dropping-particle":"","family":"Vista Nur Wasiatul Maghfiroh","given":"","non-dropping-particle":"","parse-names":false,"suffix":""}],"container-title":"Novum: Jurnal Hukum","id":"ITEM-1","issue":"In Press, Syarat SPK (7)","issued":{"date-parts":[["2022"]]},"page":"91 - 100","title":"Perlindungan Hukum Bagi Pekerja Berdasarkan Perjanjian Kerja Tidak Tertulis Pasca Berlakunya Undang-Undang Nomor 11 Tahun 2020 Tentang Cipta Kerja","type":"article-journal"},"uris":["http://www.mendeley.com/documents/?uuid=6fec6cdd-49de-4fb3-83f0-9968445cfe3c"]}],"mendeley":{"formattedCitation":"Vista Nur Wasiatul Maghfiroh, “Perlindungan Hukum Bagi Pekerja Berdasarkan Perjanjian Kerja Tidak Tertulis Pasca Berlakunya Undang-Undang Nomor 11 Tahun 2020 Tentang Cipta Kerja,” &lt;i&gt;Novum: Jurnal Hukum&lt;/i&gt;, no. In Press, Syarat SPK (7) (2022): 91–100, https://doi.org/https://doi.org/10.2674/novum.v0i0.41724.","manualFormatting":"Vista Nur Wasiatul Maghfiroh dan Arinto Nugroho, “Perlindungan Hukum Bagi Pekerja Berdasarkan Perjanjian Kerja Tidak Tertulis Pasca Berlakunya Undang-Undang Nomor 11 Tahun 2020 Tentang Cipta Kerja,” Novum: Jurnal Hukum, In Press, Syarat SPK (7) (2022): 91–100, https://doi.org/https://doi.org/10.2674/novum.v0i0.41724.","plainTextFormattedCitation":"Vista Nur Wasiatul Maghfiroh, “Perlindungan Hukum Bagi Pekerja Berdasarkan Perjanjian Kerja Tidak Tertulis Pasca Berlakunya Undang-Undang Nomor 11 Tahun 2020 Tentang Cipta Kerja,” Novum: Jurnal Hukum, no. In Press, Syarat SPK (7) (2022): 91–100, https://doi.org/https://doi.org/10.2674/novum.v0i0.41724.","previouslyFormattedCitation":"Vista Nur Wasiatul Maghfiroh, “Perlindungan Hukum Bagi Pekerja Berdasarkan Perjanjian Kerja Tidak Tertulis Pasca Berlakunya Undang-Undang Nomor 11 Tahun 2020 Tentang Cipta Kerja,” &lt;i&gt;Novum: Jurnal Hukum&lt;/i&gt;, no. In Press, Syarat SPK (7) (2022): 91–100, https://doi.org/https://doi.org/10.2674/novum.v0i0.41724."},"properties":{"noteIndex":11},"schema":"https://github.com/citation-style-language/schema/raw/master/csl-citation.json"}</w:instrText>
      </w:r>
      <w:r w:rsidR="00C97734">
        <w:fldChar w:fldCharType="separate"/>
      </w:r>
      <w:r w:rsidR="00C97734" w:rsidRPr="00C97734">
        <w:rPr>
          <w:noProof/>
        </w:rPr>
        <w:t>Vista Nur Wasiatul Maghfiroh</w:t>
      </w:r>
      <w:r w:rsidR="00C97734">
        <w:rPr>
          <w:noProof/>
        </w:rPr>
        <w:t xml:space="preserve"> dan Arinto Nugroho</w:t>
      </w:r>
      <w:r w:rsidR="00C97734" w:rsidRPr="00C97734">
        <w:rPr>
          <w:noProof/>
        </w:rPr>
        <w:t xml:space="preserve">, “Perlindungan Hukum Bagi Pekerja Berdasarkan Perjanjian Kerja Tidak Tertulis Pasca Berlakunya Undang-Undang Nomor 11 Tahun 2020 Tentang Cipta Kerja,” </w:t>
      </w:r>
      <w:r w:rsidR="00C97734" w:rsidRPr="00C97734">
        <w:rPr>
          <w:i/>
          <w:noProof/>
        </w:rPr>
        <w:t>Novum: Jurnal Hukum</w:t>
      </w:r>
      <w:r w:rsidR="00C97734" w:rsidRPr="00C97734">
        <w:rPr>
          <w:noProof/>
        </w:rPr>
        <w:t>, In Press, Syarat SPK (7) (2022): 91–100, https://doi.org/https://doi.org/10.2674/novum.v0i0.41724.</w:t>
      </w:r>
      <w:r w:rsidR="00C97734">
        <w:fldChar w:fldCharType="end"/>
      </w:r>
    </w:p>
  </w:footnote>
  <w:footnote w:id="12">
    <w:p w:rsidR="00C97734" w:rsidRPr="00C97734" w:rsidRDefault="00C97734" w:rsidP="009F2CF2">
      <w:pPr>
        <w:pStyle w:val="FootnoteText"/>
        <w:jc w:val="both"/>
        <w:rPr>
          <w:noProof/>
          <w:lang w:val="en-US"/>
        </w:rPr>
      </w:pPr>
      <w:r>
        <w:rPr>
          <w:rStyle w:val="FootnoteReference"/>
        </w:rPr>
        <w:footnoteRef/>
      </w:r>
      <w:r w:rsidR="004024C9">
        <w:rPr>
          <w:lang w:val="en-US"/>
        </w:rPr>
        <w:fldChar w:fldCharType="begin" w:fldLock="1"/>
      </w:r>
      <w:r w:rsidR="00BF68A8">
        <w:rPr>
          <w:lang w:val="en-US"/>
        </w:rPr>
        <w:instrText>ADDIN CSL_CITATION {"citationItems":[{"id":"ITEM-1","itemData":{"DOI":"http://dx.doi.org/10.31604/justitia.v9i7.3413-3418","author":[{"dropping-particle":"","family":"Prana","given":"Satria Adhi","non-dropping-particle":"","parse-names":false,"suffix":""}],"container-title":"Jurnal Justitia","id":"ITEM-1","issue":"7","issued":{"date-parts":[["2022"]]},"page":"3413 - 3418","title":"Perlindungan dan Kepastian Hukum bagi Pekerja dengan Perjanjian Kerja Waktu Tertentu (PKWT) Pasca Undang-Undnag Nomor 11 Tahun 2020 tentang Cipta Kerja","type":"article-journal","volume":"9"},"uris":["http://www.mendeley.com/documents/?uuid=af664c72-732c-4d1d-acaf-db6ed8438984"]}],"mendeley":{"formattedCitation":"Satria Adhi Prana, “Perlindungan Dan Kepastian Hukum Bagi Pekerja Dengan Perjanjian Kerja Waktu Tertentu (PKWT) Pasca Undang-Undnag Nomor 11 Tahun 2020 Tentang Cipta Kerja,” &lt;i&gt;Jurnal Justitia&lt;/i&gt; 9, no. 7 (2022): 3413–18, https://doi.org/http://dx.doi.org/10.31604/justitia.v9i7.3413-3418.","manualFormatting":"Satria Adhi Prana dan Margo Hadi Pura, “Perlindungan dan Kepastian Hukum Bagi Pekerja Dengan Perjanjian Kerja Waktu Tertentu (PKWT) Pasca Undang-Undnag Nomor 11 Tahun 2020 Tentang Cipta Kerja,” Jurnal Justitia 9, no. 7 (2022): 3413–3418, https://doi.org/http://dx.doi.org/10.31604/justitia.v9i7.3413-3418.","plainTextFormattedCitation":"Satria Adhi Prana, “Perlindungan Dan Kepastian Hukum Bagi Pekerja Dengan Perjanjian Kerja Waktu Tertentu (PKWT) Pasca Undang-Undnag Nomor 11 Tahun 2020 Tentang Cipta Kerja,” Jurnal Justitia 9, no. 7 (2022): 3413–18, https://doi.org/http://dx.doi.org/10.31604/justitia.v9i7.3413-3418.","previouslyFormattedCitation":"Satria Adhi Prana, “Perlindungan Dan Kepastian Hukum Bagi Pekerja Dengan Perjanjian Kerja Waktu Tertentu (PKWT) Pasca Undang-Undnag Nomor 11 Tahun 2020 Tentang Cipta Kerja,” &lt;i&gt;Jurnal Justitia&lt;/i&gt; 9, no. 7 (2022): 3413–18, https://doi.org/http://dx.doi.org/10.31604/justitia.v9i7.3413-3418."},"properties":{"noteIndex":12},"schema":"https://github.com/citation-style-language/schema/raw/master/csl-citation.json"}</w:instrText>
      </w:r>
      <w:r w:rsidR="004024C9">
        <w:rPr>
          <w:lang w:val="en-US"/>
        </w:rPr>
        <w:fldChar w:fldCharType="separate"/>
      </w:r>
      <w:r w:rsidR="004024C9" w:rsidRPr="004024C9">
        <w:rPr>
          <w:noProof/>
          <w:lang w:val="en-US"/>
        </w:rPr>
        <w:t>Satria Adhi Prana</w:t>
      </w:r>
      <w:r w:rsidR="004024C9">
        <w:rPr>
          <w:noProof/>
          <w:lang w:val="en-US"/>
        </w:rPr>
        <w:t xml:space="preserve"> dan </w:t>
      </w:r>
      <w:r w:rsidR="004024C9" w:rsidRPr="004024C9">
        <w:rPr>
          <w:noProof/>
        </w:rPr>
        <w:t>Margo Hadi Pura,</w:t>
      </w:r>
      <w:r w:rsidR="00BF68A8">
        <w:rPr>
          <w:noProof/>
          <w:lang w:val="en-US"/>
        </w:rPr>
        <w:t xml:space="preserve"> “Perlindungan d</w:t>
      </w:r>
      <w:r w:rsidR="004024C9" w:rsidRPr="004024C9">
        <w:rPr>
          <w:noProof/>
          <w:lang w:val="en-US"/>
        </w:rPr>
        <w:t xml:space="preserve">an Kepastian Hukum Bagi Pekerja Dengan Perjanjian Kerja Waktu Tertentu (PKWT) Pasca Undang-Undnag Nomor 11 Tahun 2020 Tentang Cipta Kerja,” </w:t>
      </w:r>
      <w:r w:rsidR="004024C9" w:rsidRPr="004024C9">
        <w:rPr>
          <w:i/>
          <w:noProof/>
          <w:lang w:val="en-US"/>
        </w:rPr>
        <w:t>Jurnal Justitia</w:t>
      </w:r>
      <w:r w:rsidR="004024C9" w:rsidRPr="004024C9">
        <w:rPr>
          <w:noProof/>
          <w:lang w:val="en-US"/>
        </w:rPr>
        <w:t xml:space="preserve"> 9, no. 7 (2022):</w:t>
      </w:r>
      <w:r w:rsidR="009F2CF2">
        <w:rPr>
          <w:noProof/>
          <w:lang w:val="en-US"/>
        </w:rPr>
        <w:t xml:space="preserve"> </w:t>
      </w:r>
      <w:r w:rsidR="004024C9" w:rsidRPr="004024C9">
        <w:rPr>
          <w:noProof/>
          <w:lang w:val="en-US"/>
        </w:rPr>
        <w:t>3413–</w:t>
      </w:r>
      <w:r w:rsidR="004024C9">
        <w:rPr>
          <w:noProof/>
          <w:lang w:val="en-US"/>
        </w:rPr>
        <w:t>34</w:t>
      </w:r>
      <w:r w:rsidR="004024C9" w:rsidRPr="004024C9">
        <w:rPr>
          <w:noProof/>
          <w:lang w:val="en-US"/>
        </w:rPr>
        <w:t>18, https://doi.org/http://dx.doi.org/10.31604/justitia.v9i7.3413-3418.</w:t>
      </w:r>
      <w:r w:rsidR="004024C9">
        <w:rPr>
          <w:lang w:val="en-US"/>
        </w:rPr>
        <w:fldChar w:fldCharType="end"/>
      </w:r>
    </w:p>
  </w:footnote>
  <w:footnote w:id="13">
    <w:p w:rsidR="00C21109" w:rsidRPr="00032F8E" w:rsidRDefault="00C21109" w:rsidP="00F60299">
      <w:pPr>
        <w:pStyle w:val="FootnoteText"/>
        <w:jc w:val="both"/>
        <w:rPr>
          <w:lang w:val="en-US"/>
        </w:rPr>
      </w:pPr>
      <w:r>
        <w:rPr>
          <w:rStyle w:val="FootnoteReference"/>
        </w:rPr>
        <w:footnoteRef/>
      </w:r>
      <w:r>
        <w:t xml:space="preserve"> </w:t>
      </w:r>
      <w:r w:rsidR="00BF68A8">
        <w:fldChar w:fldCharType="begin" w:fldLock="1"/>
      </w:r>
      <w:r w:rsidR="009A0D6C">
        <w:instrText>ADDIN CSL_CITATION {"citationItems":[{"id":"ITEM-1","itemData":{"author":[{"dropping-particle":"","family":"Ian Ward","given":"","non-dropping-particle":"","parse-names":false,"suffix":""}],"id":"ITEM-1","issued":{"date-parts":[["2014"]]},"publisher":"Nusamedia","publisher-place":"Bandung","title":"Pengantar teori hukum kritis / Ian Ward ; Penerjemah, Narulita Yusron dan M. Khozim ; Penyunting, Nur Ainin Mangunsong","type":"book"},"uris":["http://www.mendeley.com/documents/?uuid=734373f2-bd3f-440d-84fa-325c272a6a2e"]},{"id":"ITEM-2","itemData":{"DOI":"https://doi.org/10.18860/j.v9i2.5076","author":[{"dropping-particle":"","family":"Dwi Fidhayanti","given":"","non-dropping-particle":"","parse-names":false,"suffix":""}],"container-title":"Jurisdictie: Jurnal Hukum dan Syariah","id":"ITEM-2","issue":"2","issued":{"date-parts":[["2018"]]},"page":"165 - 183","title":"PENYALAHGUNAAN KEADAAN (MISBRUIK VAN OMSTANDIGHEDEN) SEBAGAI LARANGAN DALAM PERJANJIAN SYARIAH","type":"article-journal","volume":"9"},"uris":["http://www.mendeley.com/documents/?uuid=d4810425-645c-4685-b946-6d8526af9737"]}],"mendeley":{"formattedCitation":"Ian Ward, &lt;i&gt;Pengantar Teori Hukum Kritis / Ian Ward ; Penerjemah, Narulita Yusron Dan M. Khozim ; Penyunting, Nur Ainin Mangunsong&lt;/i&gt; (Bandung: Nusamedia, 2014); Dwi Fidhayanti, “PENYALAHGUNAAN KEADAAN (MISBRUIK VAN OMSTANDIGHEDEN) SEBAGAI LARANGAN DALAM PERJANJIAN SYARIAH,” &lt;i&gt;Jurisdictie: Jurnal Hukum Dan Syariah&lt;/i&gt; 9, no. 2 (2018): 165–83, https://doi.org/https://doi.org/10.18860/j.v9i2.5076.","manualFormatting":"Ian Ward, Pengantar Teori Hukum Kritis / Ian Ward ; Penerjemah, Narulita Yusron Dan M. Khozim ; Penyunting, Nur Ainin Mangunsong (Bandung: Nusamedia, 2014), 216 - 217; Dwi Fidhayanti, “Penyalahgunaan Keadaan (Misbruik Van Omstandigheden) sebagai Larangan Dalam Perjanjian Syariah,” Jurisdictie: Jurnal Hukum Dan Syariah 9, no. 2 (2018): 167, https://doi.org/https://doi.org/10.18860/j.v9i2.5076.","plainTextFormattedCitation":"Ian Ward, Pengantar Teori Hukum Kritis / Ian Ward ; Penerjemah, Narulita Yusron Dan M. Khozim ; Penyunting, Nur Ainin Mangunsong (Bandung: Nusamedia, 2014); Dwi Fidhayanti, “PENYALAHGUNAAN KEADAAN (MISBRUIK VAN OMSTANDIGHEDEN) SEBAGAI LARANGAN DALAM PERJANJIAN SYARIAH,” Jurisdictie: Jurnal Hukum Dan Syariah 9, no. 2 (2018): 165–83, https://doi.org/https://doi.org/10.18860/j.v9i2.5076.","previouslyFormattedCitation":"Ian Ward, &lt;i&gt;Pengantar Teori Hukum Kritis / Ian Ward ; Penerjemah, Narulita Yusron Dan M. Khozim ; Penyunting, Nur Ainin Mangunsong&lt;/i&gt; (Bandung: Nusamedia, 2014); Dwi Fidhayanti, “PENYALAHGUNAAN KEADAAN (MISBRUIK VAN OMSTANDIGHEDEN) SEBAGAI LARANGAN DALAM PERJANJIAN SYARIAH,” &lt;i&gt;Jurisdictie: Jurnal Hukum Dan Syariah&lt;/i&gt; 9, no. 2 (2018): 165–83, https://doi.org/https://doi.org/10.18860/j.v9i2.5076."},"properties":{"noteIndex":13},"schema":"https://github.com/citation-style-language/schema/raw/master/csl-citation.json"}</w:instrText>
      </w:r>
      <w:r w:rsidR="00BF68A8">
        <w:fldChar w:fldCharType="separate"/>
      </w:r>
      <w:r w:rsidR="00BF68A8" w:rsidRPr="00BF68A8">
        <w:rPr>
          <w:noProof/>
        </w:rPr>
        <w:t xml:space="preserve">Ian Ward, </w:t>
      </w:r>
      <w:r w:rsidR="00BF68A8" w:rsidRPr="00BF68A8">
        <w:rPr>
          <w:i/>
          <w:noProof/>
        </w:rPr>
        <w:t>Pengantar Teori Hukum Kritis / Ian Ward ; Penerjemah, Narulita Yusron Dan M. Khozim ; Penyunting, Nur Ainin Mangunsong</w:t>
      </w:r>
      <w:r w:rsidR="00BF68A8" w:rsidRPr="00BF68A8">
        <w:rPr>
          <w:noProof/>
        </w:rPr>
        <w:t xml:space="preserve"> (Bandung: Nusamedia, 2014)</w:t>
      </w:r>
      <w:r w:rsidR="009A0D6C">
        <w:rPr>
          <w:noProof/>
        </w:rPr>
        <w:t>, 216 - 217</w:t>
      </w:r>
      <w:r w:rsidR="00BF68A8" w:rsidRPr="00BF68A8">
        <w:rPr>
          <w:noProof/>
        </w:rPr>
        <w:t>; Dwi Fidhayanti, “</w:t>
      </w:r>
      <w:r w:rsidR="009A0D6C" w:rsidRPr="00BF68A8">
        <w:rPr>
          <w:noProof/>
        </w:rPr>
        <w:t>Penyalahgunaan Keadaan (</w:t>
      </w:r>
      <w:r w:rsidR="009A0D6C" w:rsidRPr="009A0D6C">
        <w:rPr>
          <w:i/>
          <w:iCs/>
          <w:noProof/>
        </w:rPr>
        <w:t>Misbruik Van Omstandigheden</w:t>
      </w:r>
      <w:r w:rsidR="009A0D6C">
        <w:rPr>
          <w:noProof/>
        </w:rPr>
        <w:t>) s</w:t>
      </w:r>
      <w:r w:rsidR="00444D63">
        <w:rPr>
          <w:noProof/>
        </w:rPr>
        <w:t>ebagai Larangan d</w:t>
      </w:r>
      <w:r w:rsidR="009A0D6C" w:rsidRPr="00BF68A8">
        <w:rPr>
          <w:noProof/>
        </w:rPr>
        <w:t>alam Perjanjian Syariah</w:t>
      </w:r>
      <w:r w:rsidR="00BF68A8" w:rsidRPr="00BF68A8">
        <w:rPr>
          <w:noProof/>
        </w:rPr>
        <w:t xml:space="preserve">,” </w:t>
      </w:r>
      <w:r w:rsidR="00BF68A8" w:rsidRPr="00BF68A8">
        <w:rPr>
          <w:i/>
          <w:noProof/>
        </w:rPr>
        <w:t>Jurisdictie: Jurnal Hukum Dan Syariah</w:t>
      </w:r>
      <w:r w:rsidR="00BF68A8" w:rsidRPr="00BF68A8">
        <w:rPr>
          <w:noProof/>
        </w:rPr>
        <w:t xml:space="preserve"> 9, no. 2 (2018): 16</w:t>
      </w:r>
      <w:r w:rsidR="009A0D6C">
        <w:rPr>
          <w:noProof/>
        </w:rPr>
        <w:t>7</w:t>
      </w:r>
      <w:r w:rsidR="00BF68A8" w:rsidRPr="00BF68A8">
        <w:rPr>
          <w:noProof/>
        </w:rPr>
        <w:t>, https://doi.org/https://doi.org/10.18860/j.v9i2.5076.</w:t>
      </w:r>
      <w:r w:rsidR="00BF68A8">
        <w:fldChar w:fldCharType="end"/>
      </w:r>
    </w:p>
  </w:footnote>
  <w:footnote w:id="14">
    <w:p w:rsidR="00C21109" w:rsidRPr="00F60299" w:rsidRDefault="00C21109" w:rsidP="00F60299">
      <w:pPr>
        <w:pStyle w:val="FootnoteText"/>
        <w:jc w:val="both"/>
      </w:pPr>
      <w:r>
        <w:rPr>
          <w:rStyle w:val="FootnoteReference"/>
        </w:rPr>
        <w:footnoteRef/>
      </w:r>
      <w:r>
        <w:t xml:space="preserve"> </w:t>
      </w:r>
      <w:r w:rsidR="009A0D6C">
        <w:t xml:space="preserve">Konsideran menimbang huruf (d) Undang-Undang Nomor 13 tahun 2003 tentang Ketenagakerjaan </w:t>
      </w:r>
    </w:p>
  </w:footnote>
  <w:footnote w:id="15">
    <w:p w:rsidR="004024C9" w:rsidRPr="004024C9" w:rsidRDefault="004024C9" w:rsidP="00F60299">
      <w:pPr>
        <w:pStyle w:val="FootnoteText"/>
        <w:jc w:val="both"/>
        <w:rPr>
          <w:lang w:val="en-US"/>
        </w:rPr>
      </w:pPr>
      <w:r>
        <w:rPr>
          <w:rStyle w:val="FootnoteReference"/>
        </w:rPr>
        <w:footnoteRef/>
      </w:r>
      <w:r>
        <w:t xml:space="preserve"> </w:t>
      </w:r>
      <w:r w:rsidR="009A0D6C" w:rsidRPr="00AA250F">
        <w:rPr>
          <w:rFonts w:eastAsia="Calibri" w:cstheme="majorBidi"/>
          <w:szCs w:val="16"/>
        </w:rPr>
        <w:t>Tujuan utama ILO tidak lain sebagai badan yang aktif mempromosikan hak-hak pekerja, mendorong terbentuknya peluang pekerjaan yang layak, meningkatkan perlindungan sosial serta memperkuat kajian sehingga dapat mengatasi problematika yang terjadi terkait dunia kerja</w:t>
      </w:r>
      <w:r w:rsidR="009A0D6C">
        <w:rPr>
          <w:rFonts w:eastAsia="Calibri" w:cstheme="majorBidi"/>
          <w:szCs w:val="16"/>
        </w:rPr>
        <w:t xml:space="preserve">. </w:t>
      </w:r>
      <w:r w:rsidR="009A0D6C" w:rsidRPr="00AA250F">
        <w:rPr>
          <w:rFonts w:eastAsia="Calibri" w:cstheme="majorBidi"/>
        </w:rPr>
        <w:t>Prinsip-prinsip hukum p</w:t>
      </w:r>
      <w:r w:rsidR="009A0D6C">
        <w:rPr>
          <w:rFonts w:eastAsia="Calibri" w:cstheme="majorBidi"/>
        </w:rPr>
        <w:t>erburuhan internasional Konvens</w:t>
      </w:r>
      <w:r w:rsidR="009A0D6C" w:rsidRPr="00AA250F">
        <w:rPr>
          <w:rFonts w:eastAsia="Calibri" w:cstheme="majorBidi"/>
        </w:rPr>
        <w:t xml:space="preserve"> Dasar ILO meliputi: (1) prinsip kebebasan berserikat dan perlindungan hak melakukan perundingan bersama; (2) prinsip penghapusan segala bentuk kerja paksa atau wajib kerja; (3) prinsip penghapusan segala bentuk diskriminasi tenaga kerja; dan (4) prinisp larangan untuk mempekerjakan pekerja anak</w:t>
      </w:r>
      <w:r w:rsidR="009A0D6C" w:rsidRPr="00AA250F">
        <w:rPr>
          <w:rFonts w:eastAsia="Calibri" w:cstheme="majorBidi"/>
          <w:color w:val="FF0000"/>
        </w:rPr>
        <w:t>.</w:t>
      </w:r>
      <w:r w:rsidR="009A0D6C">
        <w:rPr>
          <w:rFonts w:eastAsia="Calibri" w:cstheme="majorBidi"/>
          <w:color w:val="FF0000"/>
        </w:rPr>
        <w:t xml:space="preserve"> </w:t>
      </w:r>
      <w:r w:rsidR="009A0D6C" w:rsidRPr="006F3FCC">
        <w:rPr>
          <w:rFonts w:eastAsia="Calibri" w:cstheme="majorBidi"/>
        </w:rPr>
        <w:t xml:space="preserve">Deklarasi ILO </w:t>
      </w:r>
      <w:r w:rsidR="009A0D6C" w:rsidRPr="006F3FCC">
        <w:rPr>
          <w:rFonts w:ascii="Times New Roman" w:eastAsia="Calibri" w:hAnsi="Times New Roman" w:cs="Times New Roman"/>
        </w:rPr>
        <w:t>Mengenai Prinsip-prinsip dan Hak-hak Mendasar di Tempat Kerja (</w:t>
      </w:r>
      <w:r w:rsidR="009A0D6C" w:rsidRPr="006F3FCC">
        <w:rPr>
          <w:rFonts w:ascii="Times New Roman" w:eastAsia="Calibri" w:hAnsi="Times New Roman" w:cs="Times New Roman"/>
          <w:i/>
        </w:rPr>
        <w:t>International Labour Conference</w:t>
      </w:r>
      <w:r w:rsidR="009A0D6C" w:rsidRPr="006F3FCC">
        <w:rPr>
          <w:rFonts w:ascii="Times New Roman" w:eastAsia="Calibri" w:hAnsi="Times New Roman" w:cs="Times New Roman"/>
        </w:rPr>
        <w:t>) sidang ke-86 Juni 1998 menyatakan bahwa negara-negara anggota ILO berkewajiban untuk menghargai, memajukan dan menjalankan prinsip-prinsip yang terkadung dalam konvensi-konvensi ILO</w:t>
      </w:r>
      <w:r w:rsidR="009A0D6C">
        <w:rPr>
          <w:rFonts w:ascii="Times New Roman" w:eastAsia="Calibri" w:hAnsi="Times New Roman" w:cs="Times New Roman"/>
        </w:rPr>
        <w:t xml:space="preserve">. </w:t>
      </w:r>
      <w:r w:rsidR="009A0D6C">
        <w:rPr>
          <w:rFonts w:ascii="Times New Roman" w:eastAsia="Calibri" w:hAnsi="Times New Roman" w:cs="Times New Roman"/>
        </w:rPr>
        <w:fldChar w:fldCharType="begin" w:fldLock="1"/>
      </w:r>
      <w:r w:rsidR="00C42DB4">
        <w:rPr>
          <w:rFonts w:ascii="Times New Roman" w:eastAsia="Calibri" w:hAnsi="Times New Roman" w:cs="Times New Roman"/>
        </w:rPr>
        <w:instrText>ADDIN CSL_CITATION {"citationItems":[{"id":"ITEM-1","itemData":{"abstract":"Organisasi Perburuhan Internasional atau ILO adalah badan Perserikatan Bangsa-Bangsa (PBB) yang terus berupaya mendorong terciptanya peluang bagi perempuan dan laki-laki untuk memperoleh pekerjaan yang layak dan produktif secara bebas, adil, aman dan bermartabat.Indonesia sebagai anggota ILO harus tunduk pada kebijakan-kebijakan ILO. Secara peraturan perundangundangan Indonesia sudah cukup baik dalam memperhatikan kesejahteraan buruh di Indonesia. Permasalahan yang menjadi dasar penelitian ini adalah bagaimana penerapan hukum dari konvensi-konvensi ILO yang telah diratifikasi Indonesia dan faktor-faktor apa yang mempengaruhi efektifitas penerapan hukum dari konvensi-konvensi ILO di Indonesia. Metode pendekatan yang digunakan dalam penelitian ini adalah pendekatan yuridis empiris, dalam penelitian ini digunakan spesifikasi penelitian secara deskriptif analitis, jenis dan datanya adalah data primer data sekunder yang diperoleh melalui studi kepustakaan dan wawancara yang dilakukan dengan lembaga terkait, seperti: ILO Indonesia, Kementrian Tenaga Kerja dan Transmigrasi, Asosiasi Pengusaha Indonesia, dan PT. Mattel Indonesia. Pemerintah Indonesia telah meratifikasi 19 Konvensi ILO. Undang-undang yang ada di Indonesia sudah cukup mengakomodasi terhadap dialog sosial. Faktor-faktor yang mempengaruhi efektifitas penerapan hukum dari Konvensi ILO adalah hukumnya itu sendiri, penegak hukum, pelaksanaan hukum, dan hubungan industrial antara pekerja, pengusaha, dan pemerintah.","author":[{"dropping-particle":"","family":"Shafira Khairunnisa, Agus Pramono","given":"Sonhaji","non-dropping-particle":"","parse-names":false,"suffix":""}],"container-title":"DIPONEGORO LAW REVIEW","id":"ITEM-1","issue":"2","issued":{"date-parts":[["2016"]]},"page":"1 - 15","title":"ANALISIS HUKUM RATIFIKASI DAN IMPLEMENTASI KONVENSI-KONVENSI INTERNATIONAL LABOUR ORGANIZATION (ILO) DI INDONESIA","type":"article-journal","volume":"5"},"uris":["http://www.mendeley.com/documents/?uuid=10d9ebe6-1d85-445c-b818-384c8efa478f"]},{"id":"ITEM-2","itemData":{"author":[{"dropping-particle":"","family":"Agus","given":"Dede","non-dropping-particle":"","parse-names":false,"suffix":""}],"id":"ITEM-2","issued":{"date-parts":[["2009"]]},"publisher":"Airlangga","title":"Penerapan Prinsip-Prinsip Hukum Perburuhan Internasional dalam Hukum Perburuhan Indonesia","type":"thesis"},"uris":["http://www.mendeley.com/documents/?uuid=3458da23-04a2-4ed3-b962-f948cdbdbf18"]}],"mendeley":{"formattedCitation":"Sonhaji Shafira Khairunnisa, Agus Pramono, “ANALISIS HUKUM RATIFIKASI DAN IMPLEMENTASI KONVENSI-KONVENSI INTERNATIONAL LABOUR ORGANIZATION (ILO) DI INDONESIA,” &lt;i&gt;DIPONEGORO LAW REVIEW&lt;/i&gt; 5, no. 2 (2016): 1–15; Dede Agus, “Penerapan Prinsip-Prinsip Hukum Perburuhan Internasional Dalam Hukum Perburuhan Indonesia” (Airlangga, 2009), https://repository.unair.ac.id/38266/.","manualFormatting":"Sonhaji Shafira Khairunnisa, Agus Pramono, “Analisis Hukum Ratifikasi Dan Implementasi Konvensi-Konvensi International Labour Organization (ILO) di Indonesia,” DIPONEGORO LAW REVIEW 5, no. 2 (2016): 2; Dede Agus, “Penerapan Prinsip-Prinsip Hukum Perburuhan Internasional Dalam Hukum Perburuhan Indonesia” (Airlangga, 2009), https://repository.unair.ac.id/38266/.","plainTextFormattedCitation":"Sonhaji Shafira Khairunnisa, Agus Pramono, “ANALISIS HUKUM RATIFIKASI DAN IMPLEMENTASI KONVENSI-KONVENSI INTERNATIONAL LABOUR ORGANIZATION (ILO) DI INDONESIA,” DIPONEGORO LAW REVIEW 5, no. 2 (2016): 1–15; Dede Agus, “Penerapan Prinsip-Prinsip Hukum Perburuhan Internasional Dalam Hukum Perburuhan Indonesia” (Airlangga, 2009), https://repository.unair.ac.id/38266/.","previouslyFormattedCitation":"Sonhaji Shafira Khairunnisa, Agus Pramono, “ANALISIS HUKUM RATIFIKASI DAN IMPLEMENTASI KONVENSI-KONVENSI INTERNATIONAL LABOUR ORGANIZATION (ILO) DI INDONESIA,” &lt;i&gt;DIPONEGORO LAW REVIEW&lt;/i&gt; 5, no. 2 (2016): 1–15; Dede Agus, “Penerapan Prinsip-Prinsip Hukum Perburuhan Internasional Dalam Hukum Perburuhan Indonesia” (Airlangga, 2009), https://repository.unair.ac.id/38266/."},"properties":{"noteIndex":15},"schema":"https://github.com/citation-style-language/schema/raw/master/csl-citation.json"}</w:instrText>
      </w:r>
      <w:r w:rsidR="009A0D6C">
        <w:rPr>
          <w:rFonts w:ascii="Times New Roman" w:eastAsia="Calibri" w:hAnsi="Times New Roman" w:cs="Times New Roman"/>
        </w:rPr>
        <w:fldChar w:fldCharType="separate"/>
      </w:r>
      <w:r w:rsidR="009A0D6C" w:rsidRPr="009A0D6C">
        <w:rPr>
          <w:rFonts w:ascii="Times New Roman" w:eastAsia="Calibri" w:hAnsi="Times New Roman" w:cs="Times New Roman"/>
          <w:noProof/>
        </w:rPr>
        <w:t>Sonhaji Shafira Khairunnisa, Agus Pramono, “Analisis Hukum Ratifikasi Dan Implementasi Konvensi-Konvensi Intern</w:t>
      </w:r>
      <w:r w:rsidR="009A0D6C">
        <w:rPr>
          <w:rFonts w:ascii="Times New Roman" w:eastAsia="Calibri" w:hAnsi="Times New Roman" w:cs="Times New Roman"/>
          <w:noProof/>
        </w:rPr>
        <w:t>ational Labour Organization (ILO) d</w:t>
      </w:r>
      <w:r w:rsidR="009A0D6C" w:rsidRPr="009A0D6C">
        <w:rPr>
          <w:rFonts w:ascii="Times New Roman" w:eastAsia="Calibri" w:hAnsi="Times New Roman" w:cs="Times New Roman"/>
          <w:noProof/>
        </w:rPr>
        <w:t xml:space="preserve">i Indonesia,” </w:t>
      </w:r>
      <w:r w:rsidR="009A0D6C" w:rsidRPr="009A0D6C">
        <w:rPr>
          <w:rFonts w:ascii="Times New Roman" w:eastAsia="Calibri" w:hAnsi="Times New Roman" w:cs="Times New Roman"/>
          <w:i/>
          <w:noProof/>
        </w:rPr>
        <w:t>DIPONEGORO LAW REVIEW</w:t>
      </w:r>
      <w:r w:rsidR="009A0D6C" w:rsidRPr="009A0D6C">
        <w:rPr>
          <w:rFonts w:ascii="Times New Roman" w:eastAsia="Calibri" w:hAnsi="Times New Roman" w:cs="Times New Roman"/>
          <w:noProof/>
        </w:rPr>
        <w:t xml:space="preserve"> 5, no. 2 (2016): </w:t>
      </w:r>
      <w:r w:rsidR="00C42DB4">
        <w:rPr>
          <w:rFonts w:ascii="Times New Roman" w:eastAsia="Calibri" w:hAnsi="Times New Roman" w:cs="Times New Roman"/>
          <w:noProof/>
        </w:rPr>
        <w:t>2</w:t>
      </w:r>
      <w:r w:rsidR="009A0D6C" w:rsidRPr="009A0D6C">
        <w:rPr>
          <w:rFonts w:ascii="Times New Roman" w:eastAsia="Calibri" w:hAnsi="Times New Roman" w:cs="Times New Roman"/>
          <w:noProof/>
        </w:rPr>
        <w:t>; Dede Agus, “Penerapan Prinsip-Prinsip Hukum Perburuhan Internasional Dalam Hukum Perburuhan Indonesia” (Airlangga, 2009), https://repository.unair.ac.id/38266/.</w:t>
      </w:r>
      <w:r w:rsidR="009A0D6C">
        <w:rPr>
          <w:rFonts w:ascii="Times New Roman" w:eastAsia="Calibri" w:hAnsi="Times New Roman" w:cs="Times New Roman"/>
        </w:rPr>
        <w:fldChar w:fldCharType="end"/>
      </w:r>
    </w:p>
  </w:footnote>
  <w:footnote w:id="16">
    <w:p w:rsidR="00B10A69" w:rsidRPr="00B10A69" w:rsidRDefault="00B10A69" w:rsidP="00F60299">
      <w:pPr>
        <w:pStyle w:val="FootnoteText"/>
        <w:jc w:val="both"/>
      </w:pPr>
      <w:r>
        <w:rPr>
          <w:rStyle w:val="FootnoteReference"/>
        </w:rPr>
        <w:footnoteRef/>
      </w:r>
      <w:r>
        <w:t xml:space="preserve"> </w:t>
      </w:r>
      <w:r w:rsidR="00C42DB4">
        <w:fldChar w:fldCharType="begin" w:fldLock="1"/>
      </w:r>
      <w:r w:rsidR="00C42DB4">
        <w:instrText>ADDIN CSL_CITATION {"citationItems":[{"id":"ITEM-1","itemData":{"author":[{"dropping-particle":"","family":"Abdullahi Ahmed An Na’im","given":"","non-dropping-particle":"","parse-names":false,"suffix":""}],"edition":"4","id":"ITEM-1","issued":{"date-parts":[["2004"]]},"publisher":"LKiS","publisher-place":"Yogyakarta","title":"Dekonstruksi Syariah I","type":"book"},"uris":["http://www.mendeley.com/documents/?uuid=4ac10e06-5402-4ce3-964d-28978343550e"]}],"mendeley":{"formattedCitation":"Abdullahi Ahmed An Na’im, &lt;i&gt;Dekonstruksi Syariah I&lt;/i&gt;, 4th ed. (Yogyakarta: LKiS, 2004).","manualFormatting":"Abdullahi Ahmed An Na’im, Dekonstruksi Syariah I, 4th ed. (Yogyakarta: LKiS, 2004), 277.","plainTextFormattedCitation":"Abdullahi Ahmed An Na’im, Dekonstruksi Syariah I, 4th ed. (Yogyakarta: LKiS, 2004).","previouslyFormattedCitation":"Abdullahi Ahmed An Na’im, &lt;i&gt;Dekonstruksi Syariah I&lt;/i&gt;, 4th ed. (Yogyakarta: LKiS, 2004)."},"properties":{"noteIndex":16},"schema":"https://github.com/citation-style-language/schema/raw/master/csl-citation.json"}</w:instrText>
      </w:r>
      <w:r w:rsidR="00C42DB4">
        <w:fldChar w:fldCharType="separate"/>
      </w:r>
      <w:r w:rsidR="00C42DB4" w:rsidRPr="00C42DB4">
        <w:rPr>
          <w:noProof/>
        </w:rPr>
        <w:t xml:space="preserve">Abdullahi Ahmed An Na’im, </w:t>
      </w:r>
      <w:r w:rsidR="00C42DB4" w:rsidRPr="00C42DB4">
        <w:rPr>
          <w:i/>
          <w:noProof/>
        </w:rPr>
        <w:t>Dekonstruksi Syariah I</w:t>
      </w:r>
      <w:r w:rsidR="00C42DB4" w:rsidRPr="00C42DB4">
        <w:rPr>
          <w:noProof/>
        </w:rPr>
        <w:t>, 4th ed. (Yogyakarta: LKiS, 2004)</w:t>
      </w:r>
      <w:r w:rsidR="00C42DB4">
        <w:rPr>
          <w:noProof/>
        </w:rPr>
        <w:t>, 277</w:t>
      </w:r>
      <w:r w:rsidR="00C42DB4" w:rsidRPr="00C42DB4">
        <w:rPr>
          <w:noProof/>
        </w:rPr>
        <w:t>.</w:t>
      </w:r>
      <w:r w:rsidR="00C42DB4">
        <w:fldChar w:fldCharType="end"/>
      </w:r>
    </w:p>
  </w:footnote>
  <w:footnote w:id="17">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{"citationItems":[{"id":"ITEM-1","itemData":{"author":[{"dropping-particle":"","family":"Hadjon","given":"Philipus M","non-dropping-particle":"","parse-names":false,"suffix":""}],"id":"ITEM-1","issued":{"date-parts":[["1983"]]},"publisher":"Bina Ilmu","publisher-place":"Surabaya","title":"Perlindungan Hukum Bagi Masyarakat Indonesia","type":"book"},"uris":["http://www.mendeley.com/documents/?uuid=0885ec04-6bfb-4495-9c9b-10a6f33a8537"]}],"mendeley":{"formattedCitation":"Philipus M Hadjon, &lt;i&gt;Perlindungan Hukum Bagi Masyarakat Indonesia&lt;/i&gt; (Surabaya: Bina Ilmu, 1983).","manualFormatting":"Philipus M Hadjon, Perlindungan Hukum Bagi Masyarakat Indonesia (Surabaya: Bina Ilmu, 1983), 38.","plainTextFormattedCitation":"Philipus M Hadjon, Perlindungan Hukum Bagi Masyarakat Indonesia (Surabaya: Bina Ilmu, 1983).","previouslyFormattedCitation":"Philipus M Hadjon, &lt;i&gt;Perlindungan Hukum Bagi Masyarakat Indonesia&lt;/i&gt; (Surabaya: Bina Ilmu, 1983)."},"properties":{"noteIndex":17},"schema":"https://github.com/citation-style-language/schema/raw/master/csl-citation.json"}</w:instrText>
      </w:r>
      <w:r w:rsidRPr="00AA250F">
        <w:rPr>
          <w:rFonts w:cstheme="majorBidi"/>
        </w:rPr>
        <w:fldChar w:fldCharType="separate"/>
      </w:r>
      <w:r w:rsidRPr="00AA250F">
        <w:rPr>
          <w:rFonts w:cstheme="majorBidi"/>
          <w:noProof/>
        </w:rPr>
        <w:t xml:space="preserve">Philipus M Hadjon, </w:t>
      </w:r>
      <w:r w:rsidRPr="00AA250F">
        <w:rPr>
          <w:rFonts w:cstheme="majorBidi"/>
          <w:i/>
          <w:noProof/>
        </w:rPr>
        <w:t>Perlindungan Hukum Bagi Masyarakat Indonesia</w:t>
      </w:r>
      <w:r w:rsidRPr="00AA250F">
        <w:rPr>
          <w:rFonts w:cstheme="majorBidi"/>
          <w:noProof/>
        </w:rPr>
        <w:t xml:space="preserve"> (Surabaya: Bina Ilmu, 1983), 38.</w:t>
      </w:r>
      <w:r w:rsidRPr="00AA250F">
        <w:rPr>
          <w:rFonts w:cstheme="majorBidi"/>
        </w:rPr>
        <w:fldChar w:fldCharType="end"/>
      </w:r>
    </w:p>
  </w:footnote>
  <w:footnote w:id="18">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DOI":"https://doi.org/10.24252/jurisprudentie.v3i2.2665","author":[{"dropping-particle":"","family":"Kahfi","given":"Ashabul","non-dropping-particle":"","parse-names":false,"suffix":""}],"container-title":"Jurisprudentie","id":"ITEM-1","issue":"2","issued":{"date-parts":[["2016"]]},"page":"59 - 72","title":"PERLINDUNGAN HUKUM TERHADAP TENAGA KERJA","type":"article-journal","volume":"3"},"uris":["http://www.mendeley.com/documents/?uuid=81cae19a-0dfd-4136-a442-e22493d1f616"]}],"mendeley":{"formattedCitation":"Ashabul Kahfi, “PERLINDUNGAN HUKUM TERHADAP TENAGA KERJA,” &lt;i&gt;Jurisprudentie&lt;/i&gt; 3, no. 2 (2016): 59–72, https://doi.org/https://doi.org/10.24252/jurisprudentie.v3i2.2665.","manualFormatting":"Ashabul Kahfi, “Perlindungan Hukum Terhadap Tenaga Kerja,” Jurisprudentie 3, no. 2 (2016): 64, https://doi.org/https://doi.org/10.24252/jurisprudentie.v3i2.2665.","plainTextFormattedCitation":"Ashabul Kahfi, “PERLINDUNGAN HUKUM TERHADAP TENAGA KERJA,” Jurisprudentie 3, no. 2 (2016): 59–72, https://doi.org/https://doi.org/10.24252/jurisprudentie.v3i2.2665.","previouslyFormattedCitation":"Ashabul Kahfi, “PERLINDUNGAN HUKUM TERHADAP TENAGA KERJA,” &lt;i&gt;Jurisprudentie&lt;/i&gt; 3, no. 2 (2016): 59–72, https://doi.org/https://doi.org/10.24252/jurisprudentie.v3i2.2665."},"properties":{"noteIndex":18},"schema":"https://github.com/citation-style-language/schema/raw/master/csl-citation.json"}</w:instrText>
      </w:r>
      <w:r w:rsidRPr="00AA250F">
        <w:rPr>
          <w:rFonts w:cstheme="majorBidi"/>
        </w:rPr>
        <w:fldChar w:fldCharType="separate"/>
      </w:r>
      <w:r w:rsidRPr="00AA250F">
        <w:rPr>
          <w:rFonts w:cstheme="majorBidi"/>
          <w:noProof/>
        </w:rPr>
        <w:t xml:space="preserve">Ashabul Kahfi, “Perlindungan Hukum Terhadap Tenaga Kerja,” </w:t>
      </w:r>
      <w:r w:rsidRPr="00AA250F">
        <w:rPr>
          <w:rFonts w:cstheme="majorBidi"/>
          <w:i/>
          <w:noProof/>
        </w:rPr>
        <w:t>Jurisprudentie</w:t>
      </w:r>
      <w:r w:rsidRPr="00AA250F">
        <w:rPr>
          <w:rFonts w:cstheme="majorBidi"/>
          <w:noProof/>
        </w:rPr>
        <w:t xml:space="preserve"> 3, no. 2 (2016): 64, https://doi.org/https://doi.org/10.24252/jurisprudentie.v3i2.2665.</w:t>
      </w:r>
      <w:r w:rsidRPr="00AA250F">
        <w:rPr>
          <w:rFonts w:cstheme="majorBidi"/>
        </w:rPr>
        <w:fldChar w:fldCharType="end"/>
      </w:r>
    </w:p>
  </w:footnote>
  <w:footnote w:id="19">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{"citationItems":[{"id":"ITEM-1","itemData":{"author":[{"dropping-particle":"","family":"Latupono","given":"Barzah","non-dropping-particle":"","parse-names":false,"suffix":""}],"container-title":"Jurnal Sasi","id":"ITEM-1","issue":"3","issued":{"date-parts":[["2011"]]},"page":"59 - 69","title":"PERLINDUNGAN HUKUM DAN HAK ASASI MANUSIA TERHADAP PEKERJA KONTRAK (OUTSOURCING) DI KOTA AMBON","type":"article-journal","volume":"13"},"uris":["http://www.mendeley.com/documents/?uuid=ca8848b5-d885-43ca-89fc-c35d6cd0a800"]}],"mendeley":{"formattedCitation":"Barzah Latupono, “PERLINDUNGAN HUKUM DAN HAK ASASI MANUSIA TERHADAP PEKERJA KONTRAK (OUTSOURCING) DI KOTA AMBON,” &lt;i&gt;Jurnal Sasi&lt;/i&gt; 13, no. 3 (2011): 59–69.","manualFormatting":"Barzah Latupono, “Perlindungan Hukum Dan Hak Asasi Manusia Terhadap Pekerja Kontrak (Outsourcing) di Kota Ambon,” Jurnal Sasi 13, no. 3 (2011): 67.","plainTextFormattedCitation":"Barzah Latupono, “PERLINDUNGAN HUKUM DAN HAK ASASI MANUSIA TERHADAP PEKERJA KONTRAK (OUTSOURCING) DI KOTA AMBON,” Jurnal Sasi 13, no. 3 (2011): 59–69.","previouslyFormattedCitation":"Barzah Latupono, “PERLINDUNGAN HUKUM DAN HAK ASASI MANUSIA TERHADAP PEKERJA KONTRAK (OUTSOURCING) DI KOTA AMBON,” &lt;i&gt;Jurnal Sasi&lt;/i&gt; 13, no. 3 (2011): 59–69."},"properties":{"noteIndex":19},"schema":"https://github.com/citation-style-language/schema/raw/master/csl-citation.json"}</w:instrText>
      </w:r>
      <w:r w:rsidRPr="00AA250F">
        <w:rPr>
          <w:rFonts w:cstheme="majorBidi"/>
        </w:rPr>
        <w:fldChar w:fldCharType="separate"/>
      </w:r>
      <w:r w:rsidRPr="00AA250F">
        <w:rPr>
          <w:rFonts w:cstheme="majorBidi"/>
          <w:noProof/>
        </w:rPr>
        <w:t>Barzah Latupono, “Perlindungan Hukum Dan Hak Asasi Manusia Terhadap Pekerja Kontrak (</w:t>
      </w:r>
      <w:r w:rsidRPr="00AA250F">
        <w:rPr>
          <w:rFonts w:cstheme="majorBidi"/>
          <w:i/>
          <w:iCs/>
          <w:noProof/>
        </w:rPr>
        <w:t>Outsourcing</w:t>
      </w:r>
      <w:r w:rsidRPr="00AA250F">
        <w:rPr>
          <w:rFonts w:cstheme="majorBidi"/>
          <w:noProof/>
        </w:rPr>
        <w:t xml:space="preserve">) di Kota Ambon,” </w:t>
      </w:r>
      <w:r w:rsidRPr="00AA250F">
        <w:rPr>
          <w:rFonts w:cstheme="majorBidi"/>
          <w:i/>
          <w:noProof/>
        </w:rPr>
        <w:t>Jurnal Sasi</w:t>
      </w:r>
      <w:r w:rsidRPr="00AA250F">
        <w:rPr>
          <w:rFonts w:cstheme="majorBidi"/>
          <w:noProof/>
        </w:rPr>
        <w:t xml:space="preserve"> 13, no. 3 (2011): 67.</w:t>
      </w:r>
      <w:r w:rsidRPr="00AA250F">
        <w:rPr>
          <w:rFonts w:cstheme="majorBidi"/>
        </w:rPr>
        <w:fldChar w:fldCharType="end"/>
      </w:r>
    </w:p>
  </w:footnote>
  <w:footnote w:id="20">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{"citationItems":[{"id":"ITEM-1","itemData":{"author":[{"dropping-particle":"","family":"Hadjon","given":"Philipus M","non-dropping-particle":"","parse-names":false,"suffix":""}],"id":"ITEM-1","issued":{"date-parts":[["1983"]]},"publisher":"Bina Ilmu","publisher-place":"Surabaya","title":"Perlindungan Hukum Bagi Masyarakat Indonesia","type":"book"},"uris":["http://www.mendeley.com/documents/?uuid=0885ec04-6bfb-4495-9c9b-10a6f33a8537"]}],"mendeley":{"formattedCitation":"Hadjon, &lt;i&gt;Perlindungan Hukum Bagi Masyarakat Indonesia&lt;/i&gt;.","manualFormatting":"Hadjon, Perlindungan Hukum Bagi Masyarakat Indonesia, 30.","plainTextFormattedCitation":"Hadjon, Perlindungan Hukum Bagi Masyarakat Indonesia.","previouslyFormattedCitation":"Hadjon, &lt;i&gt;Perlindungan Hukum Bagi Masyarakat Indonesia&lt;/i&gt;."},"properties":{"noteIndex":20},"schema":"https://github.com/citation-style-language/schema/raw/master/csl-citation.json"}</w:instrText>
      </w:r>
      <w:r w:rsidRPr="00AA250F">
        <w:rPr>
          <w:rFonts w:cstheme="majorBidi"/>
        </w:rPr>
        <w:fldChar w:fldCharType="separate"/>
      </w:r>
      <w:r w:rsidRPr="00AA250F">
        <w:rPr>
          <w:rFonts w:cstheme="majorBidi"/>
          <w:noProof/>
        </w:rPr>
        <w:t xml:space="preserve">Hadjon, </w:t>
      </w:r>
      <w:r w:rsidRPr="00AA250F">
        <w:rPr>
          <w:rFonts w:cstheme="majorBidi"/>
          <w:i/>
          <w:noProof/>
        </w:rPr>
        <w:t xml:space="preserve">Perlindungan Hukum Bagi Masyarakat Indonesia, </w:t>
      </w:r>
      <w:r w:rsidRPr="00AA250F">
        <w:rPr>
          <w:rFonts w:cstheme="majorBidi"/>
          <w:iCs/>
          <w:noProof/>
        </w:rPr>
        <w:t>30</w:t>
      </w:r>
      <w:r w:rsidRPr="00AA250F">
        <w:rPr>
          <w:rFonts w:cstheme="majorBidi"/>
          <w:noProof/>
        </w:rPr>
        <w:t>.</w:t>
      </w:r>
      <w:r w:rsidRPr="00AA250F">
        <w:rPr>
          <w:rFonts w:cstheme="majorBidi"/>
        </w:rPr>
        <w:fldChar w:fldCharType="end"/>
      </w:r>
    </w:p>
  </w:footnote>
  <w:footnote w:id="21">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{"citationItems":[{"id":"ITEM-1","itemData":{"author":[{"dropping-particle":"","family":"Zainal Asikin","given":"","non-dropping-particle":"","parse-names":false,"suffix":""}],"id":"ITEM-1","issued":{"date-parts":[["1993"]]},"publisher":"Raja Grafindo Persada","publisher-place":"Jakarta","title":"Dasar-dasar Hukum Perburuhan","type":"book"},"uris":["http://www.mendeley.com/documents/?uuid=b938f1a7-fa36-4480-9483-cb09ba583c98"]}],"mendeley":{"formattedCitation":"Zainal Asikin, &lt;i&gt;Dasar-Dasar Hukum Perburuhan&lt;/i&gt; (Jakarta: Raja Grafindo Persada, 1993).","manualFormatting":"Zainal Asikin, Dasar-Dasar Hukum Perburuhan (Jakarta: Raja Grafindo Persada, 1993), 5.","plainTextFormattedCitation":"Zainal Asikin, Dasar-Dasar Hukum Perburuhan (Jakarta: Raja Grafindo Persada, 1993).","previouslyFormattedCitation":"Zainal Asikin, &lt;i&gt;Dasar-Dasar Hukum Perburuhan&lt;/i&gt; (Jakarta: Raja Grafindo Persada, 1993)."},"properties":{"noteIndex":21},"schema":"https://github.com/citation-style-language/schema/raw/master/csl-citation.json"}</w:instrText>
      </w:r>
      <w:r w:rsidRPr="00AA250F">
        <w:rPr>
          <w:rFonts w:cstheme="majorBidi"/>
        </w:rPr>
        <w:fldChar w:fldCharType="separate"/>
      </w:r>
      <w:r w:rsidRPr="00AA250F">
        <w:rPr>
          <w:rFonts w:cstheme="majorBidi"/>
          <w:noProof/>
        </w:rPr>
        <w:t xml:space="preserve">Zainal Asikin, </w:t>
      </w:r>
      <w:r w:rsidRPr="00AA250F">
        <w:rPr>
          <w:rFonts w:cstheme="majorBidi"/>
          <w:i/>
          <w:noProof/>
        </w:rPr>
        <w:t>Dasar-Dasar Hukum Perburuhan</w:t>
      </w:r>
      <w:r w:rsidRPr="00AA250F">
        <w:rPr>
          <w:rFonts w:cstheme="majorBidi"/>
          <w:noProof/>
        </w:rPr>
        <w:t xml:space="preserve"> (Jakarta: Raja Grafindo Persada, 1993), 5.</w:t>
      </w:r>
      <w:r w:rsidRPr="00AA250F">
        <w:rPr>
          <w:rFonts w:cstheme="majorBidi"/>
        </w:rPr>
        <w:fldChar w:fldCharType="end"/>
      </w:r>
    </w:p>
  </w:footnote>
  <w:footnote w:id="22">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{"citationItems":[{"id":"ITEM-1","itemData":{"DOI":"https://doi.org/10.35968/.v6i0.754","author":[{"dropping-particle":"","family":"Niru Anita Sinaga dan Tiberius Zaluchu","given":"","non-dropping-particle":"","parse-names":false,"suffix":""}],"container-title":"JURNAL TEKNOLOGI INDUSTRI","id":"ITEM-1","issue":"1","issued":{"date-parts":[["2017"]]},"page":"56-70","title":"PERLINDUNGAN HUKUM HAK-HAK PEKERJA DALAM HUBUNGAN KETENAGAKERJAAN DI INDONESIA","type":"article-journal","volume":"6"},"uris":["http://www.mendeley.com/documents/?uuid=582eee95-58b1-4e88-93a1-00f6e2cb2256"]}],"mendeley":{"formattedCitation":"Niru Anita Sinaga dan Tiberius Zaluchu, “PERLINDUNGAN HUKUM HAK-HAK PEKERJA DALAM HUBUNGAN KETENAGAKERJAAN DI INDONESIA.”","manualFormatting":"Niru Anita Sinaga dan Tiberius Zaluchu, “Perlindungan Hukum Hak-Hak Pekerja Dalam Hubungan Ketenagakerjaan Di Indonesia,” JURNAL TEKNOLOGI INDUSTRI 6, no. 1 (2017): 57, https://doi.org/https://doi.org/10.35968/.v6i0.754.","plainTextFormattedCitation":"Niru Anita Sinaga dan Tiberius Zaluchu, “PERLINDUNGAN HUKUM HAK-HAK PEKERJA DALAM HUBUNGAN KETENAGAKERJAAN DI INDONESIA.”","previouslyFormattedCitation":"Niru Anita Sinaga dan Tiberius Zaluchu, “PERLINDUNGAN HUKUM HAK-HAK PEKERJA DALAM HUBUNGAN KETENAGAKERJAAN DI INDONESIA.”"},"properties":{"noteIndex":22},"schema":"https://github.com/citation-style-language/schema/raw/master/csl-citation.json"}</w:instrText>
      </w:r>
      <w:r w:rsidRPr="00AA250F">
        <w:rPr>
          <w:rFonts w:cstheme="majorBidi"/>
        </w:rPr>
        <w:fldChar w:fldCharType="separate"/>
      </w:r>
      <w:r w:rsidRPr="00AA250F">
        <w:rPr>
          <w:rFonts w:cstheme="majorBidi"/>
          <w:noProof/>
        </w:rPr>
        <w:t xml:space="preserve">Niru Anita Sinaga dan Tiberius Zaluchu, “Perlindungan Hukum Hak-Hak Pekerja Dalam Hubungan Ketenagakerjaan Di Indonesia,” </w:t>
      </w:r>
      <w:r w:rsidRPr="00AA250F">
        <w:rPr>
          <w:rFonts w:cstheme="majorBidi"/>
          <w:i/>
          <w:noProof/>
        </w:rPr>
        <w:t>JURNAL TEKNOLOGI INDUSTRI</w:t>
      </w:r>
      <w:r w:rsidRPr="00AA250F">
        <w:rPr>
          <w:rFonts w:cstheme="majorBidi"/>
          <w:noProof/>
        </w:rPr>
        <w:t xml:space="preserve"> 6, no. 1 (2017): 57, https://doi.org/https://doi.org/10.35968/.v6i0.754.</w:t>
      </w:r>
      <w:r w:rsidRPr="00AA250F">
        <w:rPr>
          <w:rFonts w:cstheme="majorBidi"/>
        </w:rPr>
        <w:fldChar w:fldCharType="end"/>
      </w:r>
    </w:p>
  </w:footnote>
  <w:footnote w:id="23">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DOI":"https://doi.org/10.24252/jurisprudentie.v3i2.2665","author":[{"dropping-particle":"","family":"Kahfi","given":"Ashabul","non-dropping-particle":"","parse-names":false,"suffix":""}],"container-title":"Jurisprudentie","id":"ITEM-1","issue":"2","issued":{"date-parts":[["2016"]]},"page":"59 - 72","title":"PERLINDUNGAN HUKUM TERHADAP TENAGA KERJA","type":"article-journal","volume":"3"},"uris":["http://www.mendeley.com/documents/?uuid=81cae19a-0dfd-4136-a442-e22493d1f616"]}],"mendeley":{"formattedCitation":"Kahfi, “PERLINDUNGAN HUKUM TERHADAP TENAGA KERJA.”","manualFormatting":"Kahfi, “Perlindungan Hukum Terhadap Tenaga Kerja”","plainTextFormattedCitation":"Kahfi, “PERLINDUNGAN HUKUM TERHADAP TENAGA KERJA.”","previouslyFormattedCitation":"Kahfi, “PERLINDUNGAN HUKUM TERHADAP TENAGA KERJA.”"},"properties":{"noteIndex":23},"schema":"https://github.com/citation-style-language/schema/raw/master/csl-citation.json"}</w:instrText>
      </w:r>
      <w:r w:rsidRPr="00AA250F">
        <w:rPr>
          <w:rFonts w:cstheme="majorBidi"/>
        </w:rPr>
        <w:fldChar w:fldCharType="separate"/>
      </w:r>
      <w:r w:rsidRPr="00AA250F">
        <w:rPr>
          <w:rFonts w:cstheme="majorBidi"/>
          <w:noProof/>
        </w:rPr>
        <w:t>Kahfi, “Perlindungan Hukum Terhadap Tenaga Kerja”</w:t>
      </w:r>
      <w:r w:rsidRPr="00AA250F">
        <w:rPr>
          <w:rFonts w:cstheme="majorBidi"/>
        </w:rPr>
        <w:fldChar w:fldCharType="end"/>
      </w:r>
      <w:r w:rsidRPr="00AA250F">
        <w:rPr>
          <w:rFonts w:cstheme="majorBidi"/>
        </w:rPr>
        <w:t>, 63.</w:t>
      </w:r>
    </w:p>
  </w:footnote>
  <w:footnote w:id="24">
    <w:p w:rsidR="0057191F" w:rsidRPr="00AA250F" w:rsidRDefault="0057191F" w:rsidP="00444D63">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URL":"https://www.hukumonline.com/berita/a/prof-aloysius-uwiyono--pengaturan-pkwt-dalam-uu-cipta-kerja-belum-berkeadilan-lt6054c2939ca00/?page=all","accessed":{"date-parts":[["2022","3","30"]]},"author":[{"dropping-particle":"","family":"Ady Thea DA","given":"","non-dropping-particle":"","parse-names":false,"suffix":""}],"container-title":"hukumonline.com","id":"ITEM-1","issued":{"date-parts":[["2021"]]},"title":"Prof Aloysius Uwiyono: Pengaturan PKWT Dalam UU Cipta Kerja Belum Berkeadilan","type":"webpage"},"uris":["http://www.mendeley.com/documents/?uuid=2db29793-7b77-495e-b64c-0b12461d7c08"]}],"mendeley":{"formattedCitation":"Ady Thea DA, “Prof Aloysius Uwiyono: Pengaturan PKWT Dalam UU Cipta Kerja Belum Berkeadilan.”","manualFormatting":"Ady Thea DA, “Prof Aloysius Uwiyono: Pengaturan PKWT Dalam UNDANG-UNDANG Cipta Kerja Belum Berkeadilan.”","plainTextFormattedCitation":"Ady Thea DA, “Prof Aloysius Uwiyono: Pengaturan PKWT Dalam UU Cipta Kerja Belum Berkeadilan.”","previouslyFormattedCitation":"Ady Thea DA, “Prof Aloysius Uwiyono: Pengaturan PKWT Dalam UU Cipta Kerja Belum Berkeadilan.”"},"properties":{"noteIndex":24},"schema":"https://github.com/citation-style-language/schema/raw/master/csl-citation.json"}</w:instrText>
      </w:r>
      <w:r w:rsidRPr="00AA250F">
        <w:rPr>
          <w:rFonts w:cstheme="majorBidi"/>
        </w:rPr>
        <w:fldChar w:fldCharType="separate"/>
      </w:r>
      <w:r w:rsidRPr="007425DA">
        <w:rPr>
          <w:rFonts w:cstheme="majorBidi"/>
          <w:noProof/>
        </w:rPr>
        <w:t xml:space="preserve">Ady Thea DA, “Prof Aloysius Uwiyono: Pengaturan PKWT Dalam </w:t>
      </w:r>
      <w:r w:rsidR="00444D63">
        <w:rPr>
          <w:rFonts w:cstheme="majorBidi"/>
          <w:noProof/>
        </w:rPr>
        <w:t>Undang-Undang</w:t>
      </w:r>
      <w:r w:rsidRPr="007425DA">
        <w:rPr>
          <w:rFonts w:cstheme="majorBidi"/>
          <w:noProof/>
        </w:rPr>
        <w:t xml:space="preserve"> Cipta Kerja Belum Berkeadilan.”</w:t>
      </w:r>
      <w:r w:rsidRPr="00AA250F">
        <w:rPr>
          <w:rFonts w:cstheme="majorBidi"/>
        </w:rPr>
        <w:fldChar w:fldCharType="end"/>
      </w:r>
    </w:p>
  </w:footnote>
  <w:footnote w:id="25">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{"citationItems":[{"id":"ITEM-1","itemData":{"URL":"https://fh.unair.ac.id/en/pengawasan-sebagai-bentuk-campur-tangan-pemerintah-dalam-perlindungan-hukum-di-bidang-ketenagakerjaan/","accessed":{"date-parts":[["2022","4","7"]]},"author":[{"dropping-particle":"","family":"Dean Rizqullah Risdaryanto","given":"","non-dropping-particle":"","parse-names":false,"suffix":""}],"container-title":"fh.unair.ac.id","id":"ITEM-1","issued":{"date-parts":[["2021"]]},"title":"PENGAWASAN SEBAGAI BENTUK CAMPUR TANGAN PEMERINTAH DALAM PERLINDUNGAN HUKUM DI BIDANG KETENAGAKERJAAN","type":"webpage"},"uris":["http://www.mendeley.com/documents/?uuid=d6e8edc2-cad8-4b10-b5f4-76b65d1080f2"]}],"mendeley":{"formattedCitation":"Dean Rizqullah Risdaryanto, “PENGAWASAN SEBAGAI BENTUK CAMPUR TANGAN PEMERINTAH DALAM PERLINDUNGAN HUKUM DI BIDANG KETENAGAKERJAAN,” fh.unair.ac.id, 2021, https://fh.unair.ac.id/en/pengawasan-sebagai-bentuk-campur-tangan-pemerintah-dalam-perlindungan-hukum-di-bidang-ketenagakerjaan/.","manualFormatting":"Dean Rizqullah Risdaryanto, “Pengawasan Sebagai Bentuk Campur Tangan Pemerintah Dalam Perlindungan Hukum di Bidang Ketenagakerjaan,” fh.unair.ac.id, 28 April 2021, https://fh.unair.ac.id/en/pengawasan-sebagai-bentuk-campur-tangan-pemerintah-dalam-perlindungan-hukum-di-bidang-ketenagakerjaan/.","plainTextFormattedCitation":"Dean Rizqullah Risdaryanto, “PENGAWASAN SEBAGAI BENTUK CAMPUR TANGAN PEMERINTAH DALAM PERLINDUNGAN HUKUM DI BIDANG KETENAGAKERJAAN,” fh.unair.ac.id, 2021, https://fh.unair.ac.id/en/pengawasan-sebagai-bentuk-campur-tangan-pemerintah-dalam-perlindungan-hukum-di-bidang-ketenagakerjaan/.","previouslyFormattedCitation":"Dean Rizqullah Risdaryanto, “PENGAWASAN SEBAGAI BENTUK CAMPUR TANGAN PEMERINTAH DALAM PERLINDUNGAN HUKUM DI BIDANG KETENAGAKERJAAN,” fh.unair.ac.id, 2021, https://fh.unair.ac.id/en/pengawasan-sebagai-bentuk-campur-tangan-pemerintah-dalam-perlindungan-hukum-di-bidang-ketenagakerjaan/."},"properties":{"noteIndex":25},"schema":"https://github.com/citation-style-language/schema/raw/master/csl-citation.json"}</w:instrText>
      </w:r>
      <w:r w:rsidRPr="00AA250F">
        <w:rPr>
          <w:rFonts w:cstheme="majorBidi"/>
        </w:rPr>
        <w:fldChar w:fldCharType="separate"/>
      </w:r>
      <w:r w:rsidRPr="00AA250F">
        <w:rPr>
          <w:rFonts w:cstheme="majorBidi"/>
          <w:noProof/>
        </w:rPr>
        <w:t>Dean Rizqullah Risdaryanto, “Pengawasan Sebagai Bentuk Campur Tangan Pemerintah Dalam Perlindungan Hukum di Bidang Ketenagakerjaan,” fh.unair.ac.id, 28 April 2021, https://fh.unair.ac.id/en/pengawasan-sebagai-bentuk-campur-tangan-pemerintah-dalam-perlindungan-hukum-di-bidang-ketenagakerjaan/.</w:t>
      </w:r>
      <w:r w:rsidRPr="00AA250F">
        <w:rPr>
          <w:rFonts w:cstheme="majorBidi"/>
        </w:rPr>
        <w:fldChar w:fldCharType="end"/>
      </w:r>
    </w:p>
  </w:footnote>
  <w:footnote w:id="26">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{"citationItems":[{"id":"ITEM-1","itemData":{"DOI":"https://doi.org/10.35968/.v6i0.754","author":[{"dropping-particle":"","family":"Niru Anita Sinaga dan Tiberius Zaluchu","given":"","non-dropping-particle":"","parse-names":false,"suffix":""}],"container-title":"JURNAL TEKNOLOGI INDUSTRI","id":"ITEM-1","issue":"1","issued":{"date-parts":[["2017"]]},"page":"56-70","title":"PERLINDUNGAN HUKUM HAK-HAK PEKERJA DALAM HUBUNGAN KETENAGAKERJAAN DI INDONESIA","type":"article-journal","volume":"6"},"uris":["http://www.mendeley.com/documents/?uuid=582eee95-58b1-4e88-93a1-00f6e2cb2256"]}],"mendeley":{"formattedCitation":"Niru Anita Sinaga dan Tiberius Zaluchu, “PERLINDUNGAN HUKUM HAK-HAK PEKERJA DALAM HUBUNGAN KETENAGAKERJAAN DI INDONESIA.”","manualFormatting":"Niru Anita Sinaga dan Tiberius Zaluchu, “Perlindungan Hukum Hak-Hak Pekerja Dalam Hubungan Ketenagakerjaan Di Indonesia.”","plainTextFormattedCitation":"Niru Anita Sinaga dan Tiberius Zaluchu, “PERLINDUNGAN HUKUM HAK-HAK PEKERJA DALAM HUBUNGAN KETENAGAKERJAAN DI INDONESIA.”","previouslyFormattedCitation":"Niru Anita Sinaga dan Tiberius Zaluchu, “PERLINDUNGAN HUKUM HAK-HAK PEKERJA DALAM HUBUNGAN KETENAGAKERJAAN DI INDONESIA.”"},"properties":{"noteIndex":26},"schema":"https://github.com/citation-style-language/schema/raw/master/csl-citation.json"}</w:instrText>
      </w:r>
      <w:r w:rsidRPr="00AA250F">
        <w:rPr>
          <w:rFonts w:cstheme="majorBidi"/>
        </w:rPr>
        <w:fldChar w:fldCharType="separate"/>
      </w:r>
      <w:r w:rsidRPr="00AA250F">
        <w:rPr>
          <w:rFonts w:cstheme="majorBidi"/>
          <w:noProof/>
        </w:rPr>
        <w:t>Niru Anita Sinaga dan Tiberius Zaluchu, “Perlindungan Hukum Hak-Hak Pekerja Dalam Hubungan Ketenagakerjaan Di Indonesia.”</w:t>
      </w:r>
      <w:r w:rsidRPr="00AA250F">
        <w:rPr>
          <w:rFonts w:cstheme="majorBidi"/>
        </w:rPr>
        <w:fldChar w:fldCharType="end"/>
      </w:r>
      <w:r w:rsidRPr="00AA250F">
        <w:rPr>
          <w:rFonts w:cstheme="majorBidi"/>
        </w:rPr>
        <w:t xml:space="preserve">: 57. </w:t>
      </w:r>
    </w:p>
  </w:footnote>
  <w:footnote w:id="27">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9A0D6C">
        <w:rPr>
          <w:rFonts w:cstheme="majorBidi"/>
        </w:rPr>
        <w:instrText>ADDIN CSL_CITATION {"citationItems":[{"id":"ITEM-1","itemData":{"DOI":"https://doi.org/10.18860/j.v9i2.5076","author":[{"dropping-particle":"","family":"Dwi Fidhayanti","given":"","non-dropping-particle":"","parse-names":false,"suffix":""}],"container-title":"Jurisdictie: Jurnal Hukum dan Syariah","id":"ITEM-1","issue":"2","issued":{"date-parts":[["2018"]]},"page":"165 - 183","title":"PENYALAHGUNAAN KEADAAN (MISBRUIK VAN OMSTANDIGHEDEN) SEBAGAI LARANGAN DALAM PERJANJIAN SYARIAH","type":"article-journal","volume":"9"},"uris":["http://www.mendeley.com/documents/?uuid=d4810425-645c-4685-b946-6d8526af9737"]}],"mendeley":{"formattedCitation":"Dwi Fidhayanti, “PENYALAHGUNAAN KEADAAN (MISBRUIK VAN OMSTANDIGHEDEN) SEBAGAI LARANGAN DALAM PERJANJIAN SYARIAH.”","manualFormatting":"Dwi Fidhayanti, “Penyalahgunaan Keadaan (Misbruik Van Omstandigheden) sebagai Larangan dalam Perjanjian Syariah,” Jurisdictie: Jurnal Hukum dan Syariah 9, no. 2 (2018): 167, https://doi.org/https://doi.org/10.18860/j.v9i2.5076.","plainTextFormattedCitation":"Dwi Fidhayanti, “PENYALAHGUNAAN KEADAAN (MISBRUIK VAN OMSTANDIGHEDEN) SEBAGAI LARANGAN DALAM PERJANJIAN SYARIAH.”","previouslyFormattedCitation":"Dwi Fidhayanti, “PENYALAHGUNAAN KEADAAN (MISBRUIK VAN OMSTANDIGHEDEN) SEBAGAI LARANGAN DALAM PERJANJIAN SYARIAH.”"},"properties":{"noteIndex":27},"schema":"https://github.com/citation-style-language/schema/raw/master/csl-citation.json"}</w:instrText>
      </w:r>
      <w:r w:rsidRPr="00AA250F">
        <w:rPr>
          <w:rFonts w:cstheme="majorBidi"/>
        </w:rPr>
        <w:fldChar w:fldCharType="separate"/>
      </w:r>
      <w:r w:rsidRPr="00AA250F">
        <w:rPr>
          <w:rFonts w:cstheme="majorBidi"/>
          <w:noProof/>
        </w:rPr>
        <w:t>Dwi Fidhayanti, “Penyalahgunaan Keadaan (</w:t>
      </w:r>
      <w:r w:rsidRPr="00AA250F">
        <w:rPr>
          <w:rFonts w:cstheme="majorBidi"/>
          <w:i/>
          <w:iCs/>
          <w:noProof/>
        </w:rPr>
        <w:t>Misbruik Van Omstandigheden</w:t>
      </w:r>
      <w:r w:rsidRPr="00AA250F">
        <w:rPr>
          <w:rFonts w:cstheme="majorBidi"/>
          <w:noProof/>
        </w:rPr>
        <w:t xml:space="preserve">) sebagai Larangan dalam Perjanjian Syariah,” </w:t>
      </w:r>
      <w:r w:rsidRPr="00AA250F">
        <w:rPr>
          <w:rFonts w:cstheme="majorBidi"/>
          <w:i/>
          <w:noProof/>
        </w:rPr>
        <w:t>Jurisdictie: Jurnal Hukum dan Syariah</w:t>
      </w:r>
      <w:r w:rsidRPr="00AA250F">
        <w:rPr>
          <w:rFonts w:cstheme="majorBidi"/>
          <w:noProof/>
        </w:rPr>
        <w:t xml:space="preserve"> 9, no. 2 (2018): 167, https://doi.org/https://doi.org/10.18860/j.v9i2.5076.</w:t>
      </w:r>
      <w:r w:rsidRPr="00AA250F">
        <w:rPr>
          <w:rFonts w:cstheme="majorBidi"/>
        </w:rPr>
        <w:fldChar w:fldCharType="end"/>
      </w:r>
    </w:p>
  </w:footnote>
  <w:footnote w:id="28">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Istilah </w:t>
      </w:r>
      <w:r w:rsidRPr="00AA250F">
        <w:rPr>
          <w:rFonts w:cstheme="majorBidi"/>
          <w:i/>
          <w:iCs/>
        </w:rPr>
        <w:t>misbruik van omstandigheden</w:t>
      </w:r>
      <w:r w:rsidRPr="00AA250F">
        <w:rPr>
          <w:rFonts w:cstheme="majorBidi"/>
        </w:rPr>
        <w:t xml:space="preserve"> atau dalam literatur lain dikenal dengan istilah </w:t>
      </w:r>
      <w:r w:rsidRPr="00AA250F">
        <w:rPr>
          <w:rFonts w:cstheme="majorBidi"/>
          <w:i/>
          <w:iCs/>
        </w:rPr>
        <w:t>undue influence</w:t>
      </w:r>
      <w:r w:rsidRPr="00AA250F">
        <w:rPr>
          <w:rFonts w:cstheme="majorBidi"/>
        </w:rPr>
        <w:t xml:space="preserve"> dalam hukum Indonesia disebut penyalahgunaan keadaan. Doktrin ini dalam sistem common law selain diistilahkan dengan </w:t>
      </w:r>
      <w:r w:rsidRPr="00AA250F">
        <w:rPr>
          <w:rFonts w:cstheme="majorBidi"/>
          <w:i/>
          <w:iCs/>
        </w:rPr>
        <w:t>undue influence</w:t>
      </w:r>
      <w:r w:rsidRPr="00AA250F">
        <w:rPr>
          <w:rFonts w:cstheme="majorBidi"/>
        </w:rPr>
        <w:t xml:space="preserve"> juga dikenal dengan </w:t>
      </w:r>
      <w:r w:rsidRPr="00AA250F">
        <w:rPr>
          <w:rFonts w:cstheme="majorBidi"/>
          <w:i/>
          <w:iCs/>
        </w:rPr>
        <w:t>unconscionability</w:t>
      </w:r>
      <w:r w:rsidRPr="00AA250F">
        <w:rPr>
          <w:rFonts w:cstheme="majorBidi"/>
        </w:rPr>
        <w:t xml:space="preserve">, yang keduanya didasarkan pada ketidakseimbangan posisi para pihak dalam melakukan tawar menawar. Jika ketidakadilan yang terjadi pada hubungan para pihak tidak seimbang, maka hal tersebut diistilahkan </w:t>
      </w:r>
      <w:r w:rsidRPr="00AA250F">
        <w:rPr>
          <w:rFonts w:cstheme="majorBidi"/>
          <w:i/>
          <w:iCs/>
        </w:rPr>
        <w:t>undue influence</w:t>
      </w:r>
      <w:r w:rsidRPr="00AA250F">
        <w:rPr>
          <w:rFonts w:cstheme="majorBidi"/>
        </w:rPr>
        <w:t xml:space="preserve"> (hubungan berat sebelah), tetapi apabila ketidakadilan tersebut terjadi pada suatu keadaan, maka hal tersebut diistilahkan </w:t>
      </w:r>
      <w:r w:rsidRPr="00AA250F">
        <w:rPr>
          <w:rFonts w:cstheme="majorBidi"/>
          <w:i/>
          <w:iCs/>
        </w:rPr>
        <w:t>unconscionability</w:t>
      </w:r>
      <w:r w:rsidRPr="00AA250F">
        <w:rPr>
          <w:rFonts w:cstheme="majorBidi"/>
        </w:rPr>
        <w:t xml:space="preserve"> (keadaan berat sebalah). </w:t>
      </w:r>
      <w:r w:rsidRPr="00AA250F">
        <w:rPr>
          <w:rFonts w:cstheme="majorBidi"/>
        </w:rPr>
        <w:fldChar w:fldCharType="begin" w:fldLock="1"/>
      </w:r>
      <w:r w:rsidR="00BF68A8">
        <w:rPr>
          <w:rFonts w:cstheme="majorBidi"/>
        </w:rPr>
        <w:instrText>ADDIN CSL_CITATION {"citationItems":[{"id":"ITEM-1","itemData":{"author":[{"dropping-particle":"","family":"Paparang","given":"Fatmah","non-dropping-particle":"","parse-names":false,"suffix":""}],"container-title":"JURNAL HUKUM UNSRAT","id":"ITEM-1","issue":"6","issued":{"date-parts":[["2016"]]},"page":"46 - 59","title":"MISBRUIK VAN OMSTANDIGHEDEN DALAM PERKEMBANGAN HUKUM KONTRAK","type":"article-journal","volume":"22"},"uris":["http://www.mendeley.com/documents/?uuid=735a12b5-c437-492d-9069-9b869a17d49d"]}],"mendeley":{"formattedCitation":"Fatmah Paparang, “MISBRUIK VAN OMSTANDIGHEDEN DALAM PERKEMBANGAN HUKUM KONTRAK,” &lt;i&gt;JURNAL HUKUM UNSRAT&lt;/i&gt; 22, no. 6 (2016): 46–59.","manualFormatting":"Fatmah Paparang, “Misbruik Van Omstandigheden Dalam Perkembangan Hukum Kontrak,” JURNAL HUKUM UNSRAT 22, no. 6 (2016): 48.","plainTextFormattedCitation":"Fatmah Paparang, “MISBRUIK VAN OMSTANDIGHEDEN DALAM PERKEMBANGAN HUKUM KONTRAK,” JURNAL HUKUM UNSRAT 22, no. 6 (2016): 46–59.","previouslyFormattedCitation":"Fatmah Paparang, “MISBRUIK VAN OMSTANDIGHEDEN DALAM PERKEMBANGAN HUKUM KONTRAK,” &lt;i&gt;JURNAL HUKUM UNSRAT&lt;/i&gt; 22, no. 6 (2016): 46–59."},"properties":{"noteIndex":28},"schema":"https://github.com/citation-style-language/schema/raw/master/csl-citation.json"}</w:instrText>
      </w:r>
      <w:r w:rsidRPr="00AA250F">
        <w:rPr>
          <w:rFonts w:cstheme="majorBidi"/>
        </w:rPr>
        <w:fldChar w:fldCharType="separate"/>
      </w:r>
      <w:r w:rsidRPr="00AA250F">
        <w:rPr>
          <w:rFonts w:cstheme="majorBidi"/>
          <w:noProof/>
        </w:rPr>
        <w:t xml:space="preserve">Fatmah Paparang, “Misbruik Van Omstandigheden Dalam Perkembangan Hukum Kontrak,” </w:t>
      </w:r>
      <w:r w:rsidRPr="00AA250F">
        <w:rPr>
          <w:rFonts w:cstheme="majorBidi"/>
          <w:i/>
          <w:noProof/>
        </w:rPr>
        <w:t>JURNAL HUKUM UNSRAT</w:t>
      </w:r>
      <w:r w:rsidRPr="00AA250F">
        <w:rPr>
          <w:rFonts w:cstheme="majorBidi"/>
          <w:noProof/>
        </w:rPr>
        <w:t xml:space="preserve"> 22, no. 6 (2016): 48.</w:t>
      </w:r>
      <w:r w:rsidRPr="00AA250F">
        <w:rPr>
          <w:rFonts w:cstheme="majorBidi"/>
        </w:rPr>
        <w:fldChar w:fldCharType="end"/>
      </w:r>
    </w:p>
  </w:footnote>
  <w:footnote w:id="29">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{"citationItems":[{"id":"ITEM-1","itemData":{"DOI":"https://doi.org/10.35968/.v6i0.754","author":[{"dropping-particle":"","family":"Niru Anita Sinaga dan Tiberius Zaluchu","given":"","non-dropping-particle":"","parse-names":false,"suffix":""}],"container-title":"JURNAL TEKNOLOGI INDUSTRI","id":"ITEM-1","issue":"1","issued":{"date-parts":[["2017"]]},"page":"56-70","title":"PERLINDUNGAN HUKUM HAK-HAK PEKERJA DALAM HUBUNGAN KETENAGAKERJAAN DI INDONESIA","type":"article-journal","volume":"6"},"uris":["http://www.mendeley.com/documents/?uuid=582eee95-58b1-4e88-93a1-00f6e2cb2256"]}],"mendeley":{"formattedCitation":"Niru Anita Sinaga dan Tiberius Zaluchu, “PERLINDUNGAN HUKUM HAK-HAK PEKERJA DALAM HUBUNGAN KETENAGAKERJAAN DI INDONESIA.”","manualFormatting":"Niru Anita Sinaga dan Tiberius Zaluchu, “Perlindungan Hukum Hak-Hak Pekerja Dalam Hubungan Ketenagakerjaan Di Indonesia.”","plainTextFormattedCitation":"Niru Anita Sinaga dan Tiberius Zaluchu, “PERLINDUNGAN HUKUM HAK-HAK PEKERJA DALAM HUBUNGAN KETENAGAKERJAAN DI INDONESIA.”","previouslyFormattedCitation":"Niru Anita Sinaga dan Tiberius Zaluchu, “PERLINDUNGAN HUKUM HAK-HAK PEKERJA DALAM HUBUNGAN KETENAGAKERJAAN DI INDONESIA.”"},"properties":{"noteIndex":29},"schema":"https://github.com/citation-style-language/schema/raw/master/csl-citation.json"}</w:instrText>
      </w:r>
      <w:r w:rsidRPr="00AA250F">
        <w:rPr>
          <w:rFonts w:cstheme="majorBidi"/>
        </w:rPr>
        <w:fldChar w:fldCharType="separate"/>
      </w:r>
      <w:r w:rsidRPr="00AA250F">
        <w:rPr>
          <w:rFonts w:cstheme="majorBidi"/>
          <w:noProof/>
        </w:rPr>
        <w:t>Niru Anita Sinaga dan Tiberius Zaluchu, “Perlindungan Hukum Hak-Hak Pekerja Dalam Hubungan Ketenagakerjaan Di Indonesia.”</w:t>
      </w:r>
      <w:r w:rsidRPr="00AA250F">
        <w:rPr>
          <w:rFonts w:cstheme="majorBidi"/>
        </w:rPr>
        <w:fldChar w:fldCharType="end"/>
      </w:r>
      <w:r w:rsidRPr="00AA250F">
        <w:rPr>
          <w:rFonts w:cstheme="majorBidi"/>
        </w:rPr>
        <w:t xml:space="preserve">: 60. </w:t>
      </w:r>
    </w:p>
  </w:footnote>
  <w:footnote w:id="30">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{"citationItems":[{"id":"ITEM-1","itemData":{"DOI":"https://doi.org/10.35968/.v6i0.754","author":[{"dropping-particle":"","family":"Niru Anita Sinaga dan Tiberius Zaluchu","given":"","non-dropping-particle":"","parse-names":false,"suffix":""}],"container-title":"JURNAL TEKNOLOGI INDUSTRI","id":"ITEM-1","issue":"1","issued":{"date-parts":[["2017"]]},"page":"56-70","title":"PERLINDUNGAN HUKUM HAK-HAK PEKERJA DALAM HUBUNGAN KETENAGAKERJAAN DI INDONESIA","type":"article-journal","volume":"6"},"uris":["http://www.mendeley.com/documents/?uuid=582eee95-58b1-4e88-93a1-00f6e2cb2256"]}],"mendeley":{"formattedCitation":"Niru Anita Sinaga dan Tiberius Zaluchu.","manualFormatting":"Niru Anita Sinaga dan Tiberius Zaluchu, 61.","plainTextFormattedCitation":"Niru Anita Sinaga dan Tiberius Zaluchu.","previouslyFormattedCitation":"Niru Anita Sinaga dan Tiberius Zaluchu."},"properties":{"noteIndex":30},"schema":"https://github.com/citation-style-language/schema/raw/master/csl-citation.json"}</w:instrText>
      </w:r>
      <w:r w:rsidRPr="00AA250F">
        <w:rPr>
          <w:rFonts w:cstheme="majorBidi"/>
        </w:rPr>
        <w:fldChar w:fldCharType="separate"/>
      </w:r>
      <w:r w:rsidRPr="00AA250F">
        <w:rPr>
          <w:rFonts w:cstheme="majorBidi"/>
          <w:noProof/>
        </w:rPr>
        <w:t>Niru Anita Sinaga dan Tiberius Zaluchu, 61.</w:t>
      </w:r>
      <w:r w:rsidRPr="00AA250F">
        <w:rPr>
          <w:rFonts w:cstheme="majorBidi"/>
        </w:rPr>
        <w:fldChar w:fldCharType="end"/>
      </w:r>
    </w:p>
  </w:footnote>
  <w:footnote w:id="31">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{"citationItems":[{"id":"ITEM-1","itemData":{"id":"ITEM-1","issued":{"date-parts":[["0"]]},"title":"Undang-Undang Nomor 13 Tahun 2003 tentang Ketenagakerjaan","type":"legislation"},"uris":["http://www.mendeley.com/documents/?uuid=755e7f77-ea54-442b-b6a8-069e1a8bd1ff"]}],"mendeley":{"formattedCitation":"“Undang-Undang Nomor 13 Tahun 2003 Tentang Ketenagakerjaan” (n.d.).","manualFormatting":"Pasal 5 dan 6 Undang-Undang Nomor 13 Tahun 2003 Tentang Ketenagakerjaan.","plainTextFormattedCitation":"“Undang-Undang Nomor 13 Tahun 2003 Tentang Ketenagakerjaan” (n.d.).","previouslyFormattedCitation":"“Undang-Undang Nomor 13 Tahun 2003 Tentang Ketenagakerjaan” (n.d.)."},"properties":{"noteIndex":31},"schema":"https://github.com/citation-style-language/schema/raw/master/csl-citation.json"}</w:instrText>
      </w:r>
      <w:r w:rsidRPr="00AA250F">
        <w:rPr>
          <w:rFonts w:cstheme="majorBidi"/>
        </w:rPr>
        <w:fldChar w:fldCharType="separate"/>
      </w:r>
      <w:r w:rsidRPr="00AA250F">
        <w:rPr>
          <w:rFonts w:cstheme="majorBidi"/>
          <w:noProof/>
        </w:rPr>
        <w:t xml:space="preserve">Pasal 5 dan 6 </w:t>
      </w:r>
      <w:r>
        <w:rPr>
          <w:rFonts w:cstheme="majorBidi"/>
          <w:noProof/>
        </w:rPr>
        <w:t xml:space="preserve">Undang-Undang </w:t>
      </w:r>
      <w:r w:rsidRPr="00AA250F">
        <w:rPr>
          <w:rFonts w:cstheme="majorBidi"/>
          <w:noProof/>
        </w:rPr>
        <w:t>Nomor 13 Tahun 2003 Tentang Ketenagakerjaan.</w:t>
      </w:r>
      <w:r w:rsidRPr="00AA250F">
        <w:rPr>
          <w:rFonts w:cstheme="majorBidi"/>
        </w:rPr>
        <w:fldChar w:fldCharType="end"/>
      </w:r>
    </w:p>
  </w:footnote>
  <w:footnote w:id="32">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{"citationItems":[{"id":"ITEM-1","itemData":{"author":[{"dropping-particle":"","family":"Asri Wijayanti","given":"","non-dropping-particle":"","parse-names":false,"suffix":""}],"id":"ITEM-1","issued":{"date-parts":[["2014"]]},"publisher":"Sinar Grafika","publisher-place":"Jakarta","title":"Hukum Ketenagakerjaan Pasca Reformasi","type":"book"},"uris":["http://www.mendeley.com/documents/?uuid=26cc7678-fc20-42f4-9fe5-4abeb55d6fd1"]}],"mendeley":{"formattedCitation":"Asri Wijayanti, &lt;i&gt;Hukum Ketenagakerjaan Pasca Reformasi&lt;/i&gt; (Jakarta: Sinar Grafika, 2014).","manualFormatting":"Asri Wijayanti, Hukum Ketenagakerjaan Pasca Reformasi (Jakarta: Sinar Grafika, 2014), 11.","plainTextFormattedCitation":"Asri Wijayanti, Hukum Ketenagakerjaan Pasca Reformasi (Jakarta: Sinar Grafika, 2014).","previouslyFormattedCitation":"Asri Wijayanti, &lt;i&gt;Hukum Ketenagakerjaan Pasca Reformasi&lt;/i&gt; (Jakarta: Sinar Grafika, 2014)."},"properties":{"noteIndex":32},"schema":"https://github.com/citation-style-language/schema/raw/master/csl-citation.json"}</w:instrText>
      </w:r>
      <w:r w:rsidRPr="00AA250F">
        <w:rPr>
          <w:rFonts w:cstheme="majorBidi"/>
        </w:rPr>
        <w:fldChar w:fldCharType="separate"/>
      </w:r>
      <w:r w:rsidRPr="00AA250F">
        <w:rPr>
          <w:rFonts w:cstheme="majorBidi"/>
          <w:noProof/>
        </w:rPr>
        <w:t xml:space="preserve">Asri Wijayanti, </w:t>
      </w:r>
      <w:r w:rsidRPr="00AA250F">
        <w:rPr>
          <w:rFonts w:cstheme="majorBidi"/>
          <w:i/>
          <w:noProof/>
        </w:rPr>
        <w:t>Hukum Ketenagakerjaan Pasca Reformasi</w:t>
      </w:r>
      <w:r w:rsidRPr="00AA250F">
        <w:rPr>
          <w:rFonts w:cstheme="majorBidi"/>
          <w:noProof/>
        </w:rPr>
        <w:t xml:space="preserve"> (Jakarta: Sinar Grafika, 2014), 11.</w:t>
      </w:r>
      <w:r w:rsidRPr="00AA250F">
        <w:rPr>
          <w:rFonts w:cstheme="majorBidi"/>
        </w:rPr>
        <w:fldChar w:fldCharType="end"/>
      </w:r>
    </w:p>
  </w:footnote>
  <w:footnote w:id="33">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Soepomo","given":"Imam","non-dropping-particle":"","parse-names":false,"suffix":""}],"id":"ITEM-1","issued":{"date-parts":[["2003"]]},"publisher":"Djambatan","publisher-place":"Jakarta","title":"Pengantar Hukum Perburuhan","type":"book"},"uris":["http://www.mendeley.com/documents/?uuid=8f9d2b92-2c05-4195-aaa2-395200c1864c"]}],"mendeley":{"formattedCitation":"Imam Soepomo, &lt;i&gt;Pengantar Hukum Perburuhan&lt;/i&gt; (Jakarta: Djambatan, 2003).","manualFormatting":"Imam Soepomo, Pengantar Hukum Perburuhan (Jakarta: Djambatan, 2003), 164.","plainTextFormattedCitation":"Imam Soepomo, Pengantar Hukum Perburuhan (Jakarta: Djambatan, 2003).","previouslyFormattedCitation":"Imam Soepomo, &lt;i&gt;Pengantar Hukum Perburuhan&lt;/i&gt; (Jakarta: Djambatan, 2003)."},"properties":{"noteIndex":33},"schema":"https://github.com/citation-style-language/schema/raw/master/csl-citation.json"}</w:instrText>
      </w:r>
      <w:r w:rsidRPr="00AA250F">
        <w:rPr>
          <w:rFonts w:cstheme="majorBidi"/>
        </w:rPr>
        <w:fldChar w:fldCharType="separate"/>
      </w:r>
      <w:r w:rsidRPr="00AA250F">
        <w:rPr>
          <w:rFonts w:cstheme="majorBidi"/>
          <w:noProof/>
        </w:rPr>
        <w:t xml:space="preserve">Imam Soepomo, </w:t>
      </w:r>
      <w:r w:rsidRPr="00AA250F">
        <w:rPr>
          <w:rFonts w:cstheme="majorBidi"/>
          <w:i/>
          <w:noProof/>
        </w:rPr>
        <w:t>Pengantar Hukum Perburuhan</w:t>
      </w:r>
      <w:r w:rsidRPr="00AA250F">
        <w:rPr>
          <w:rFonts w:cstheme="majorBidi"/>
          <w:noProof/>
        </w:rPr>
        <w:t xml:space="preserve"> (Jakarta: Djambatan, 2003), 164.</w:t>
      </w:r>
      <w:r w:rsidRPr="00AA250F">
        <w:rPr>
          <w:rFonts w:cstheme="majorBidi"/>
        </w:rPr>
        <w:fldChar w:fldCharType="end"/>
      </w:r>
    </w:p>
  </w:footnote>
  <w:footnote w:id="34">
    <w:p w:rsidR="0057191F" w:rsidRPr="00AA250F" w:rsidRDefault="0057191F"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DOI":"https://doi.org/10.36546/solusi.v17i1.147","author":[{"dropping-particle":"","family":"Asuan","given":"","non-dropping-particle":"","parse-names":false,"suffix":""}],"container-title":"SOLUSI","id":"ITEM-1","issue":"1","issued":{"date-parts":[["2019"]]},"page":"23 - 31","title":"PERLINDUNGAN HUKUM TERHADAP PEKERJA BERSTATUS PERJANJIAN KERJA WAKTU TERTENTU (PKWT) MENURUT UNDANG-UNDANG NOMOR 13 TAHUN 2003 TENTANG KETENAGAKERJAAN","type":"article-journal","volume":"17"},"uris":["http://www.mendeley.com/documents/?uuid=1ca10d60-9562-4089-bb96-d0cd88bf678e"]}],"mendeley":{"formattedCitation":"Asuan, “PERLINDUNGAN HUKUM TERHADAP PEKERJA BERSTATUS PERJANJIAN KERJA WAKTU TERTENTU (PKWT) MENURUT UNDANG-UNDANG NOMOR 13 TAHUN 2003 TENTANG KETENAGAKERJAAN,” &lt;i&gt;SOLUSI&lt;/i&gt; 17, no. 1 (2019): 23–31, https://doi.org/https://doi.org/10.36546/solusi.v17i1.147.","manualFormatting":"Asuan, “Perlindungan Hukum Terhadap Pekerja Berstatus Perjanjian Kerja Waktu Tertentu (Pkwt) Menurut Undang-Undang Nomor 13 Tahun 2003 Tentang Ketenagakerjaan,” SOLUSI 17, no. 1 (2019): 27, https://doi.org/https://doi.org/10.36546/solusi.v17i1.147.","plainTextFormattedCitation":"Asuan, “PERLINDUNGAN HUKUM TERHADAP PEKERJA BERSTATUS PERJANJIAN KERJA WAKTU TERTENTU (PKWT) MENURUT UNDANG-UNDANG NOMOR 13 TAHUN 2003 TENTANG KETENAGAKERJAAN,” SOLUSI 17, no. 1 (2019): 23–31, https://doi.org/https://doi.org/10.36546/solusi.v17i1.147.","previouslyFormattedCitation":"Asuan, “PERLINDUNGAN HUKUM TERHADAP PEKERJA BERSTATUS PERJANJIAN KERJA WAKTU TERTENTU (PKWT) MENURUT UNDANG-UNDANG NOMOR 13 TAHUN 2003 TENTANG KETENAGAKERJAAN,” &lt;i&gt;SOLUSI&lt;/i&gt; 17, no. 1 (2019): 23–31, https://doi.org/https://doi.org/10.36546/solusi.v17i1.147."},"properties":{"noteIndex":34},"schema":"https://github.com/citation-style-language/schema/raw/master/csl-citation.json"}</w:instrText>
      </w:r>
      <w:r w:rsidRPr="00AA250F">
        <w:rPr>
          <w:rFonts w:cstheme="majorBidi"/>
        </w:rPr>
        <w:fldChar w:fldCharType="separate"/>
      </w:r>
      <w:r w:rsidRPr="00AA250F">
        <w:rPr>
          <w:rFonts w:cstheme="majorBidi"/>
          <w:noProof/>
        </w:rPr>
        <w:t xml:space="preserve">Asuan, “Perlindungan Hukum Terhadap Pekerja Berstatus Perjanjian Kerja Waktu Tertentu (Pkwt) Menurut </w:t>
      </w:r>
      <w:r w:rsidR="001D5DEC">
        <w:rPr>
          <w:rFonts w:cstheme="majorBidi"/>
          <w:noProof/>
        </w:rPr>
        <w:t>Undang-Undang</w:t>
      </w:r>
      <w:r w:rsidRPr="00AA250F">
        <w:rPr>
          <w:rFonts w:cstheme="majorBidi"/>
          <w:noProof/>
        </w:rPr>
        <w:t xml:space="preserve"> Nomor 13 Ta</w:t>
      </w:r>
      <w:r w:rsidR="001D5DEC">
        <w:rPr>
          <w:rFonts w:cstheme="majorBidi"/>
          <w:noProof/>
        </w:rPr>
        <w:t>hun 2003 Tentang Ketenagakerjaan</w:t>
      </w:r>
      <w:r w:rsidRPr="00AA250F">
        <w:rPr>
          <w:rFonts w:cstheme="majorBidi"/>
          <w:noProof/>
        </w:rPr>
        <w:t xml:space="preserve">,” </w:t>
      </w:r>
      <w:r w:rsidRPr="00AA250F">
        <w:rPr>
          <w:rFonts w:cstheme="majorBidi"/>
          <w:i/>
          <w:noProof/>
        </w:rPr>
        <w:t>SOLUSI</w:t>
      </w:r>
      <w:r w:rsidRPr="00AA250F">
        <w:rPr>
          <w:rFonts w:cstheme="majorBidi"/>
          <w:noProof/>
        </w:rPr>
        <w:t xml:space="preserve"> 17, no. 1 (2019): 27, https://doi.org/https://doi.org/10.36546/solusi.v17i1.147.</w:t>
      </w:r>
      <w:r w:rsidRPr="00AA250F">
        <w:rPr>
          <w:rFonts w:cstheme="majorBidi"/>
        </w:rPr>
        <w:fldChar w:fldCharType="end"/>
      </w:r>
    </w:p>
  </w:footnote>
  <w:footnote w:id="35">
    <w:p w:rsidR="001D5DEC" w:rsidRPr="00AA250F" w:rsidRDefault="001D5DEC"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C42DB4">
        <w:rPr>
          <w:rFonts w:cstheme="majorBidi"/>
        </w:rPr>
        <w:instrText>ADDIN CSL_CITATION {"citationItems":[{"id":"ITEM-1","itemData":{"author":[{"dropping-particle":"","family":"Abdullahi Ahmed An Na’im","given":"","non-dropping-particle":"","parse-names":false,"suffix":""}],"edition":"4","id":"ITEM-1","issued":{"date-parts":[["2004"]]},"publisher":"LKiS","publisher-place":"Yogyakarta","title":"Dekonstruksi Syariah I","type":"book"},"uris":["http://www.mendeley.com/documents/?uuid=4ac10e06-5402-4ce3-964d-28978343550e"]}],"mendeley":{"formattedCitation":"Abdullahi Ahmed An Na’im, &lt;i&gt;Dekonstruksi Syariah I&lt;/i&gt;.","manualFormatting":"Abdullahi Ahmed An-Na’im, Dekonstruksi Syariah I, 4th ed. (Yogyakarta: LKiS, 2004), 266.","plainTextFormattedCitation":"Abdullahi Ahmed An Na’im, Dekonstruksi Syariah I.","previouslyFormattedCitation":"Abdullahi Ahmed An Na’im, &lt;i&gt;Dekonstruksi Syariah I&lt;/i&gt;."},"properties":{"noteIndex":35},"schema":"https://github.com/citation-style-language/schema/raw/master/csl-citation.json"}</w:instrText>
      </w:r>
      <w:r w:rsidRPr="00AA250F">
        <w:rPr>
          <w:rFonts w:cstheme="majorBidi"/>
        </w:rPr>
        <w:fldChar w:fldCharType="separate"/>
      </w:r>
      <w:r w:rsidRPr="00AA250F">
        <w:rPr>
          <w:rFonts w:cstheme="majorBidi"/>
          <w:noProof/>
        </w:rPr>
        <w:t xml:space="preserve">Abdullahi Ahmed </w:t>
      </w:r>
      <w:r>
        <w:rPr>
          <w:rFonts w:cstheme="majorBidi"/>
          <w:noProof/>
        </w:rPr>
        <w:t>An-Na’im</w:t>
      </w:r>
      <w:r w:rsidRPr="00AA250F">
        <w:rPr>
          <w:rFonts w:cstheme="majorBidi"/>
          <w:noProof/>
        </w:rPr>
        <w:t xml:space="preserve">, </w:t>
      </w:r>
      <w:r w:rsidRPr="00AA250F">
        <w:rPr>
          <w:rFonts w:cstheme="majorBidi"/>
          <w:i/>
          <w:noProof/>
        </w:rPr>
        <w:t>Dekonstruksi Syariah I</w:t>
      </w:r>
      <w:r w:rsidRPr="00AA250F">
        <w:rPr>
          <w:rFonts w:cstheme="majorBidi"/>
          <w:noProof/>
        </w:rPr>
        <w:t>, 4th ed. (Yogyakarta: LKiS, 2004), 266.</w:t>
      </w:r>
      <w:r w:rsidRPr="00AA250F">
        <w:rPr>
          <w:rFonts w:cstheme="majorBidi"/>
        </w:rPr>
        <w:fldChar w:fldCharType="end"/>
      </w:r>
    </w:p>
  </w:footnote>
  <w:footnote w:id="36">
    <w:p w:rsidR="001D5DEC" w:rsidRPr="00AA250F" w:rsidRDefault="001D5DEC"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{"citationItems":[{"id":"ITEM-1","itemData":{"author":[{"dropping-particle":"","family":"Abdullahi Ahmed An Na’im","given":"","non-dropping-particle":"","parse-names":false,"suffix":""}],"edition":"4","id":"ITEM-1","issued":{"date-parts":[["2004"]]},"publisher":"LKiS","publisher-place":"Yogyakarta","title":"Dekonstruksi Syariah I","type":"book"},"uris":["http://www.mendeley.com/documents/?uuid=4ac10e06-5402-4ce3-964d-28978343550e"]}],"mendeley":{"formattedCitation":"Abdullahi Ahmed An Na’im.","manualFormatting":"Abdullahi Ahmed An-Na’im,  277.","plainTextFormattedCitation":"Abdullahi Ahmed An Na’im.","previouslyFormattedCitation":"Abdullahi Ahmed An Na’im."},"properties":{"noteIndex":36},"schema":"https://github.com/citation-style-language/schema/raw/master/csl-citation.json"}</w:instrText>
      </w:r>
      <w:r w:rsidRPr="00AA250F">
        <w:rPr>
          <w:rFonts w:cstheme="majorBidi"/>
        </w:rPr>
        <w:fldChar w:fldCharType="separate"/>
      </w:r>
      <w:r w:rsidRPr="00AA250F">
        <w:rPr>
          <w:rFonts w:cstheme="majorBidi"/>
          <w:noProof/>
        </w:rPr>
        <w:t xml:space="preserve">Abdullahi Ahmed </w:t>
      </w:r>
      <w:r>
        <w:rPr>
          <w:rFonts w:cstheme="majorBidi"/>
          <w:noProof/>
        </w:rPr>
        <w:t>An-Na’im</w:t>
      </w:r>
      <w:r w:rsidRPr="00AA250F">
        <w:rPr>
          <w:rFonts w:cstheme="majorBidi"/>
          <w:noProof/>
        </w:rPr>
        <w:t>,  277.</w:t>
      </w:r>
      <w:r w:rsidRPr="00AA250F">
        <w:rPr>
          <w:rFonts w:cstheme="majorBidi"/>
        </w:rPr>
        <w:fldChar w:fldCharType="end"/>
      </w:r>
    </w:p>
  </w:footnote>
  <w:footnote w:id="37">
    <w:p w:rsidR="008F6AFF" w:rsidRPr="008F6AFF" w:rsidRDefault="008F6AFF" w:rsidP="00F60299">
      <w:pPr>
        <w:pStyle w:val="FootnoteText"/>
        <w:jc w:val="both"/>
      </w:pPr>
      <w:r>
        <w:rPr>
          <w:rStyle w:val="FootnoteReference"/>
        </w:rPr>
        <w:footnoteRef/>
      </w:r>
      <w:r>
        <w:t xml:space="preserve"> </w:t>
      </w:r>
      <w:r w:rsidR="00C42DB4">
        <w:fldChar w:fldCharType="begin" w:fldLock="1"/>
      </w:r>
      <w:r w:rsidR="00C42DB4">
        <w:instrText>ADDIN CSL_CITATION {"citationItems":[{"id":"ITEM-1","itemData":{"DOI":"10.21154/justicia.v19i1.3282","author":[{"dropping-particle":"","family":"Siti Rohmah","given":"Moh Anas Kholish dan Andi Muhammad Galib","non-dropping-particle":"","parse-names":false,"suffix":""}],"container-title":"JUsticia Islamica","id":"ITEM-1","issue":"1","issued":{"date-parts":[["2022"]]},"page":"153 - 170","title":"Human Rights and Islamic Law Discourse: The Epistemological Construction of Abul A’la Al-Maududi, Abdullahi Ahmed An-Naim, and Mashood A. Baderin","type":"article-journal","volume":"19"},"uris":["http://www.mendeley.com/documents/?uuid=a738d84d-3c9b-4252-a389-ba917ea502e6"]}],"mendeley":{"formattedCitation":"Moh Anas Kholish dan Andi Muhammad Galib Siti Rohmah, “Human Rights and Islamic Law Discourse: The Epistemological Construction of Abul A’la Al-Maududi, Abdullahi Ahmed An-Naim, and Mashood A. Baderin,” &lt;i&gt;JUsticia Islamica&lt;/i&gt; 19, no. 1 (2022): 153–70, https://doi.org/10.21154/justicia.v19i1.3282.","manualFormatting":"Moh Anas Kholish, Andi Muhammad Galib dan  Siti Rohmah, “Human Rights and Islamic Law Discourse: The Epistemological Construction of Abul A’la Al-Maududi, Abdullahi Ahmed An-Naim, and Mashood A. Baderin,” Justicia Islamica 19, no. 1 (2022): 168, https://doi.org/10.21154/justicia.v19i1.3282.","plainTextFormattedCitation":"Moh Anas Kholish dan Andi Muhammad Galib Siti Rohmah, “Human Rights and Islamic Law Discourse: The Epistemological Construction of Abul A’la Al-Maududi, Abdullahi Ahmed An-Naim, and Mashood A. Baderin,” JUsticia Islamica 19, no. 1 (2022): 153–70, https://doi.org/10.21154/justicia.v19i1.3282.","previouslyFormattedCitation":"Moh Anas Kholish dan Andi Muhammad Galib Siti Rohmah, “Human Rights and Islamic Law Discourse: The Epistemological Construction of Abul A’la Al-Maududi, Abdullahi Ahmed An-Naim, and Mashood A. Baderin,” &lt;i&gt;JUsticia Islamica&lt;/i&gt; 19, no. 1 (2022): 153–70, https://doi.org/10.21154/justicia.v19i1.3282."},"properties":{"noteIndex":37},"schema":"https://github.com/citation-style-language/schema/raw/master/csl-citation.json"}</w:instrText>
      </w:r>
      <w:r w:rsidR="00C42DB4">
        <w:fldChar w:fldCharType="separate"/>
      </w:r>
      <w:r w:rsidR="00C42DB4">
        <w:rPr>
          <w:noProof/>
        </w:rPr>
        <w:t xml:space="preserve">Moh Anas Kholish, </w:t>
      </w:r>
      <w:r w:rsidR="00C42DB4" w:rsidRPr="00C42DB4">
        <w:rPr>
          <w:noProof/>
        </w:rPr>
        <w:t>Andi Muhammad Galib</w:t>
      </w:r>
      <w:r w:rsidR="00C42DB4">
        <w:rPr>
          <w:noProof/>
        </w:rPr>
        <w:t xml:space="preserve"> dan </w:t>
      </w:r>
      <w:r w:rsidR="00C42DB4" w:rsidRPr="00C42DB4">
        <w:rPr>
          <w:noProof/>
        </w:rPr>
        <w:t xml:space="preserve"> Siti Rohmah, “Human Rights and Islamic Law Discourse: The Epistemological Construction of Abul A’la Al-Maududi, Abdullahi Ahmed An-Naim, and Mashood A. Baderin,” </w:t>
      </w:r>
      <w:r w:rsidR="00C42DB4">
        <w:rPr>
          <w:i/>
          <w:noProof/>
        </w:rPr>
        <w:t>Ju</w:t>
      </w:r>
      <w:r w:rsidR="00C42DB4" w:rsidRPr="00C42DB4">
        <w:rPr>
          <w:i/>
          <w:noProof/>
        </w:rPr>
        <w:t>sticia Islamica</w:t>
      </w:r>
      <w:r w:rsidR="00C42DB4" w:rsidRPr="00C42DB4">
        <w:rPr>
          <w:noProof/>
        </w:rPr>
        <w:t xml:space="preserve"> 19, no. 1 (2022): 1</w:t>
      </w:r>
      <w:r w:rsidR="00C42DB4">
        <w:rPr>
          <w:noProof/>
        </w:rPr>
        <w:t>68</w:t>
      </w:r>
      <w:r w:rsidR="00C42DB4" w:rsidRPr="00C42DB4">
        <w:rPr>
          <w:noProof/>
        </w:rPr>
        <w:t>, https://doi.org/10.21154/justicia.v19i1.3282.</w:t>
      </w:r>
      <w:r w:rsidR="00C42DB4">
        <w:fldChar w:fldCharType="end"/>
      </w:r>
    </w:p>
  </w:footnote>
  <w:footnote w:id="38">
    <w:p w:rsidR="001D5DEC" w:rsidRPr="00AA250F" w:rsidRDefault="001D5DEC"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{"citationItems":[{"id":"ITEM-1","itemData":{"author":[{"dropping-particle":"","family":"Abdullahi Ahmed An Na’im","given":"","non-dropping-particle":"","parse-names":false,"suffix":""}],"id":"ITEM-1","issued":{"date-parts":[["2007"]]},"publisher":"Mizan","publisher-place":"Bandung","title":"Islam dan Negara Sekuler; Menegosiasikan Masa Depan Syariah","type":"book"},"uris":["http://www.mendeley.com/documents/?uuid=d455ec00-90de-4b38-8041-02a23005487f"]}],"mendeley":{"formattedCitation":"Abdullahi Ahmed An Na’im, &lt;i&gt;Islam Dan Negara Sekuler; Menegosiasikan Masa Depan Syariah&lt;/i&gt; (Bandung: Mizan, 2007).","manualFormatting":"Abdullahi Ahmed An-Na’im, Islam dan Negara Sekuler; Menegosiasikan Masa Depan Syariah (Bandung: Mizan, 2007), 177.","plainTextFormattedCitation":"Abdullahi Ahmed An Na’im, Islam Dan Negara Sekuler; Menegosiasikan Masa Depan Syariah (Bandung: Mizan, 2007).","previouslyFormattedCitation":"Abdullahi Ahmed An Na’im, &lt;i&gt;Islam Dan Negara Sekuler; Menegosiasikan Masa Depan Syariah&lt;/i&gt; (Bandung: Mizan, 2007)."},"properties":{"noteIndex":38},"schema":"https://github.com/citation-style-language/schema/raw/master/csl-citation.json"}</w:instrText>
      </w:r>
      <w:r w:rsidRPr="00AA250F">
        <w:rPr>
          <w:rFonts w:cstheme="majorBidi"/>
        </w:rPr>
        <w:fldChar w:fldCharType="separate"/>
      </w:r>
      <w:r w:rsidRPr="00AA250F">
        <w:rPr>
          <w:rFonts w:cstheme="majorBidi"/>
          <w:noProof/>
        </w:rPr>
        <w:t xml:space="preserve">Abdullahi Ahmed </w:t>
      </w:r>
      <w:r>
        <w:rPr>
          <w:rFonts w:cstheme="majorBidi"/>
          <w:noProof/>
        </w:rPr>
        <w:t>An-Na’im</w:t>
      </w:r>
      <w:r w:rsidRPr="00AA250F">
        <w:rPr>
          <w:rFonts w:cstheme="majorBidi"/>
          <w:noProof/>
        </w:rPr>
        <w:t xml:space="preserve">, </w:t>
      </w:r>
      <w:r w:rsidRPr="00AA250F">
        <w:rPr>
          <w:rFonts w:cstheme="majorBidi"/>
          <w:i/>
          <w:noProof/>
        </w:rPr>
        <w:t>Islam dan Negara Sekuler; Menegosiasikan Masa Depan Syariah</w:t>
      </w:r>
      <w:r w:rsidRPr="00AA250F">
        <w:rPr>
          <w:rFonts w:cstheme="majorBidi"/>
          <w:noProof/>
        </w:rPr>
        <w:t xml:space="preserve"> (Bandung: Mizan, 2007), 177.</w:t>
      </w:r>
      <w:r w:rsidRPr="00AA250F">
        <w:rPr>
          <w:rFonts w:cstheme="majorBidi"/>
        </w:rPr>
        <w:fldChar w:fldCharType="end"/>
      </w:r>
    </w:p>
  </w:footnote>
  <w:footnote w:id="39">
    <w:p w:rsidR="001D5DEC" w:rsidRPr="00AA250F" w:rsidRDefault="001D5DEC"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{"citationItems":[{"id":"ITEM-1","itemData":{"author":[{"dropping-particle":"","family":"Abdullahi Ahmed An Na’im","given":"","non-dropping-particle":"","parse-names":false,"suffix":""}],"edition":"4","id":"ITEM-1","issued":{"date-parts":[["2004"]]},"publisher":"LKiS","publisher-place":"Yogyakarta","title":"Dekonstruksi Syariah I","type":"book"},"uris":["http://www.mendeley.com/documents/?uuid=4ac10e06-5402-4ce3-964d-28978343550e"]}],"mendeley":{"formattedCitation":"Abdullahi Ahmed An Na’im, &lt;i&gt;Dekonstruksi Syariah I&lt;/i&gt;.","manualFormatting":"Abdullahi Ahmed An-Na’im, Dekonstruksi Syariah I, 267.","plainTextFormattedCitation":"Abdullahi Ahmed An Na’im, Dekonstruksi Syariah I.","previouslyFormattedCitation":"Abdullahi Ahmed An Na’im, &lt;i&gt;Dekonstruksi Syariah I&lt;/i&gt;."},"properties":{"noteIndex":39},"schema":"https://github.com/citation-style-language/schema/raw/master/csl-citation.json"}</w:instrText>
      </w:r>
      <w:r w:rsidRPr="00AA250F">
        <w:rPr>
          <w:rFonts w:cstheme="majorBidi"/>
        </w:rPr>
        <w:fldChar w:fldCharType="separate"/>
      </w:r>
      <w:r w:rsidRPr="00AA250F">
        <w:rPr>
          <w:rFonts w:cstheme="majorBidi"/>
          <w:noProof/>
        </w:rPr>
        <w:t xml:space="preserve">Abdullahi Ahmed </w:t>
      </w:r>
      <w:r>
        <w:rPr>
          <w:rFonts w:cstheme="majorBidi"/>
          <w:noProof/>
        </w:rPr>
        <w:t>An-Na’im</w:t>
      </w:r>
      <w:r w:rsidRPr="00AA250F">
        <w:rPr>
          <w:rFonts w:cstheme="majorBidi"/>
          <w:noProof/>
        </w:rPr>
        <w:t xml:space="preserve">, </w:t>
      </w:r>
      <w:r w:rsidRPr="00AA250F">
        <w:rPr>
          <w:rFonts w:cstheme="majorBidi"/>
          <w:i/>
          <w:noProof/>
        </w:rPr>
        <w:t xml:space="preserve">Dekonstruksi Syariah I, </w:t>
      </w:r>
      <w:r w:rsidRPr="00AA250F">
        <w:rPr>
          <w:rFonts w:cstheme="majorBidi"/>
          <w:noProof/>
        </w:rPr>
        <w:t>267.</w:t>
      </w:r>
      <w:r w:rsidRPr="00AA250F">
        <w:rPr>
          <w:rFonts w:cstheme="majorBidi"/>
        </w:rPr>
        <w:fldChar w:fldCharType="end"/>
      </w:r>
    </w:p>
  </w:footnote>
  <w:footnote w:id="40">
    <w:p w:rsidR="001D5DEC" w:rsidRPr="00AA250F" w:rsidRDefault="001D5DEC"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{"citationItems":[{"id":"ITEM-1","itemData":{"author":[{"dropping-particle":"","family":"Abdullahi Ahmed An Na’im","given":"","non-dropping-particle":"","parse-names":false,"suffix":""}],"id":"ITEM-1","issued":{"date-parts":[["2007"]]},"publisher":"Mizan","publisher-place":"Bandung","title":"Islam dan Negara Sekuler; Menegosiasikan Masa Depan Syariah","type":"book"},"uris":["http://www.mendeley.com/documents/?uuid=d455ec00-90de-4b38-8041-02a23005487f"]}],"mendeley":{"formattedCitation":"Abdullahi Ahmed An Na’im, &lt;i&gt;Islam Dan Negara Sekuler; Menegosiasikan Masa Depan Syariah&lt;/i&gt;.","manualFormatting":"Abdullahi Ahmed An-Na’im, Islam dan Negara Sekuler; Menegosiasikan Masa Depan Syariah, 178-179.","plainTextFormattedCitation":"Abdullahi Ahmed An Na’im, Islam Dan Negara Sekuler; Menegosiasikan Masa Depan Syariah.","previouslyFormattedCitation":"Abdullahi Ahmed An Na’im, &lt;i&gt;Islam Dan Negara Sekuler; Menegosiasikan Masa Depan Syariah&lt;/i&gt;."},"properties":{"noteIndex":40},"schema":"https://github.com/citation-style-language/schema/raw/master/csl-citation.json"}</w:instrText>
      </w:r>
      <w:r w:rsidRPr="00AA250F">
        <w:rPr>
          <w:rFonts w:cstheme="majorBidi"/>
        </w:rPr>
        <w:fldChar w:fldCharType="separate"/>
      </w:r>
      <w:r w:rsidRPr="00AA250F">
        <w:rPr>
          <w:rFonts w:cstheme="majorBidi"/>
          <w:noProof/>
        </w:rPr>
        <w:t xml:space="preserve">Abdullahi Ahmed </w:t>
      </w:r>
      <w:r>
        <w:rPr>
          <w:rFonts w:cstheme="majorBidi"/>
          <w:noProof/>
        </w:rPr>
        <w:t>An-Na’im</w:t>
      </w:r>
      <w:r w:rsidRPr="00AA250F">
        <w:rPr>
          <w:rFonts w:cstheme="majorBidi"/>
          <w:noProof/>
        </w:rPr>
        <w:t xml:space="preserve">, </w:t>
      </w:r>
      <w:r w:rsidRPr="00AA250F">
        <w:rPr>
          <w:rFonts w:cstheme="majorBidi"/>
          <w:i/>
          <w:noProof/>
        </w:rPr>
        <w:t xml:space="preserve">Islam dan Negara Sekuler; Menegosiasikan Masa Depan Syariah, </w:t>
      </w:r>
      <w:r w:rsidRPr="00AA250F">
        <w:rPr>
          <w:rFonts w:cstheme="majorBidi"/>
          <w:noProof/>
        </w:rPr>
        <w:t>178-179.</w:t>
      </w:r>
      <w:r w:rsidRPr="00AA250F">
        <w:rPr>
          <w:rFonts w:cstheme="majorBidi"/>
        </w:rPr>
        <w:fldChar w:fldCharType="end"/>
      </w:r>
    </w:p>
  </w:footnote>
  <w:footnote w:id="41">
    <w:p w:rsidR="001D5DEC" w:rsidRPr="00AA250F" w:rsidRDefault="001D5DEC"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{"citationItems":[{"id":"ITEM-1","itemData":{"author":[{"dropping-particle":"","family":"Abdullahi Ahmed An Na’im","given":"","non-dropping-particle":"","parse-names":false,"suffix":""}],"id":"ITEM-1","issued":{"date-parts":[["2007"]]},"publisher":"Mizan","publisher-place":"Bandung","title":"Islam dan Negara Sekuler; Menegosiasikan Masa Depan Syariah","type":"book"},"uris":["http://www.mendeley.com/documents/?uuid=d455ec00-90de-4b38-8041-02a23005487f"]}],"mendeley":{"formattedCitation":"Abdullahi Ahmed An Na’im.","manualFormatting":"Abdullahi Ahmed An-Na’im, 271.","plainTextFormattedCitation":"Abdullahi Ahmed An Na’im.","previouslyFormattedCitation":"Abdullahi Ahmed An Na’im."},"properties":{"noteIndex":41},"schema":"https://github.com/citation-style-language/schema/raw/master/csl-citation.json"}</w:instrText>
      </w:r>
      <w:r w:rsidRPr="00AA250F">
        <w:rPr>
          <w:rFonts w:cstheme="majorBidi"/>
        </w:rPr>
        <w:fldChar w:fldCharType="separate"/>
      </w:r>
      <w:r w:rsidRPr="00AA250F">
        <w:rPr>
          <w:rFonts w:cstheme="majorBidi"/>
          <w:noProof/>
        </w:rPr>
        <w:t xml:space="preserve">Abdullahi Ahmed </w:t>
      </w:r>
      <w:r>
        <w:rPr>
          <w:rFonts w:cstheme="majorBidi"/>
          <w:noProof/>
        </w:rPr>
        <w:t>An-Na’im</w:t>
      </w:r>
      <w:r w:rsidRPr="00AA250F">
        <w:rPr>
          <w:rFonts w:cstheme="majorBidi"/>
          <w:noProof/>
        </w:rPr>
        <w:t>, 271.</w:t>
      </w:r>
      <w:r w:rsidRPr="00AA250F">
        <w:rPr>
          <w:rFonts w:cstheme="majorBidi"/>
        </w:rPr>
        <w:fldChar w:fldCharType="end"/>
      </w:r>
    </w:p>
  </w:footnote>
  <w:footnote w:id="42">
    <w:p w:rsidR="001D5DEC" w:rsidRPr="00AA250F" w:rsidRDefault="001D5DEC"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{"citationItems":[{"id":"ITEM-1","itemData":{"author":[{"dropping-particle":"","family":"Abdullahi Ahmed An Na’im","given":"","non-dropping-particle":"","parse-names":false,"suffix":""}],"id":"ITEM-1","issued":{"date-parts":[["2007"]]},"publisher":"Mizan","publisher-place":"Bandung","title":"Islam dan Negara Sekuler; Menegosiasikan Masa Depan Syariah","type":"book"},"uris":["http://www.mendeley.com/documents/?uuid=d455ec00-90de-4b38-8041-02a23005487f"]}],"mendeley":{"formattedCitation":"Abdullahi Ahmed An Na’im.","manualFormatting":"Abdullahi Ahmed An-Na’im, 271.","plainTextFormattedCitation":"Abdullahi Ahmed An Na’im.","previouslyFormattedCitation":"Abdullahi Ahmed An Na’im."},"properties":{"noteIndex":42},"schema":"https://github.com/citation-style-language/schema/raw/master/csl-citation.json"}</w:instrText>
      </w:r>
      <w:r w:rsidRPr="00AA250F">
        <w:rPr>
          <w:rFonts w:cstheme="majorBidi"/>
        </w:rPr>
        <w:fldChar w:fldCharType="separate"/>
      </w:r>
      <w:r w:rsidRPr="00AA250F">
        <w:rPr>
          <w:rFonts w:cstheme="majorBidi"/>
          <w:noProof/>
        </w:rPr>
        <w:t xml:space="preserve">Abdullahi Ahmed </w:t>
      </w:r>
      <w:r>
        <w:rPr>
          <w:rFonts w:cstheme="majorBidi"/>
          <w:noProof/>
        </w:rPr>
        <w:t>An-Na’im</w:t>
      </w:r>
      <w:r w:rsidRPr="00AA250F">
        <w:rPr>
          <w:rFonts w:cstheme="majorBidi"/>
          <w:noProof/>
        </w:rPr>
        <w:t>, 271.</w:t>
      </w:r>
      <w:r w:rsidRPr="00AA250F">
        <w:rPr>
          <w:rFonts w:cstheme="majorBidi"/>
        </w:rPr>
        <w:fldChar w:fldCharType="end"/>
      </w:r>
    </w:p>
  </w:footnote>
  <w:footnote w:id="43">
    <w:p w:rsidR="001D5DEC" w:rsidRPr="00AA250F" w:rsidRDefault="001D5DEC"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{"citationItems":[{"id":"ITEM-1","itemData":{"author":[{"dropping-particle":"","family":"Abdullahi Ahmed An Na’im","given":"","non-dropping-particle":"","parse-names":false,"suffix":""}],"id":"ITEM-1","issued":{"date-parts":[["2007"]]},"publisher":"Mizan","publisher-place":"Bandung","title":"Islam dan Negara Sekuler; Menegosiasikan Masa Depan Syariah","type":"book"},"uris":["http://www.mendeley.com/documents/?uuid=d455ec00-90de-4b38-8041-02a23005487f"]}],"mendeley":{"formattedCitation":"Abdullahi Ahmed An Na’im.","manualFormatting":"Abdullahi Ahmed An-Na’im,  271.","plainTextFormattedCitation":"Abdullahi Ahmed An Na’im.","previouslyFormattedCitation":"Abdullahi Ahmed An Na’im."},"properties":{"noteIndex":43},"schema":"https://github.com/citation-style-language/schema/raw/master/csl-citation.json"}</w:instrText>
      </w:r>
      <w:r w:rsidRPr="00AA250F">
        <w:rPr>
          <w:rFonts w:cstheme="majorBidi"/>
        </w:rPr>
        <w:fldChar w:fldCharType="separate"/>
      </w:r>
      <w:r w:rsidRPr="00AA250F">
        <w:rPr>
          <w:rFonts w:cstheme="majorBidi"/>
          <w:noProof/>
        </w:rPr>
        <w:t xml:space="preserve">Abdullahi Ahmed </w:t>
      </w:r>
      <w:r>
        <w:rPr>
          <w:rFonts w:cstheme="majorBidi"/>
          <w:noProof/>
        </w:rPr>
        <w:t>An-Na’im</w:t>
      </w:r>
      <w:r w:rsidRPr="00AA250F">
        <w:rPr>
          <w:rFonts w:cstheme="majorBidi"/>
          <w:noProof/>
        </w:rPr>
        <w:t>,  271.</w:t>
      </w:r>
      <w:r w:rsidRPr="00AA250F">
        <w:rPr>
          <w:rFonts w:cstheme="majorBidi"/>
        </w:rPr>
        <w:fldChar w:fldCharType="end"/>
      </w:r>
    </w:p>
  </w:footnote>
  <w:footnote w:id="44">
    <w:p w:rsidR="001D5DEC" w:rsidRPr="00AA250F" w:rsidRDefault="001D5DEC"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{"citationItems":[{"id":"ITEM-1","itemData":{"author":[{"dropping-particle":"","family":"Abdullahi Ahmed An Na’im","given":"","non-dropping-particle":"","parse-names":false,"suffix":""}],"id":"ITEM-1","issued":{"date-parts":[["2007"]]},"publisher":"Mizan","publisher-place":"Bandung","title":"Islam dan Negara Sekuler; Menegosiasikan Masa Depan Syariah","type":"book"},"uris":["http://www.mendeley.com/documents/?uuid=d455ec00-90de-4b38-8041-02a23005487f"]}],"mendeley":{"formattedCitation":"Abdullahi Ahmed An Na’im.","manualFormatting":"Abdullahi Ahmed An-Na’im, 178-179.","plainTextFormattedCitation":"Abdullahi Ahmed An Na’im.","previouslyFormattedCitation":"Abdullahi Ahmed An Na’im."},"properties":{"noteIndex":44},"schema":"https://github.com/citation-style-language/schema/raw/master/csl-citation.json"}</w:instrText>
      </w:r>
      <w:r w:rsidRPr="00AA250F">
        <w:rPr>
          <w:rFonts w:cstheme="majorBidi"/>
        </w:rPr>
        <w:fldChar w:fldCharType="separate"/>
      </w:r>
      <w:r w:rsidRPr="00AA250F">
        <w:rPr>
          <w:rFonts w:cstheme="majorBidi"/>
          <w:noProof/>
        </w:rPr>
        <w:t xml:space="preserve">Abdullahi Ahmed </w:t>
      </w:r>
      <w:r>
        <w:rPr>
          <w:rFonts w:cstheme="majorBidi"/>
          <w:noProof/>
        </w:rPr>
        <w:t>An-Na’im</w:t>
      </w:r>
      <w:r w:rsidRPr="00AA250F">
        <w:rPr>
          <w:rFonts w:cstheme="majorBidi"/>
          <w:noProof/>
        </w:rPr>
        <w:t>, 178-179.</w:t>
      </w:r>
      <w:r w:rsidRPr="00AA250F">
        <w:rPr>
          <w:rFonts w:cstheme="majorBidi"/>
        </w:rPr>
        <w:fldChar w:fldCharType="end"/>
      </w:r>
    </w:p>
  </w:footnote>
  <w:footnote w:id="45">
    <w:p w:rsidR="001D5DEC" w:rsidRPr="00AA250F" w:rsidRDefault="001D5DEC"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{"citationItems":[{"id":"ITEM-1","itemData":{"author":[{"dropping-particle":"","family":"Abdullahi Ahmed An Na’im","given":"","non-dropping-particle":"","parse-names":false,"suffix":""}],"edition":"4","id":"ITEM-1","issued":{"date-parts":[["2004"]]},"publisher":"LKiS","publisher-place":"Yogyakarta","title":"Dekonstruksi Syariah I","type":"book"},"uris":["http://www.mendeley.com/documents/?uuid=4ac10e06-5402-4ce3-964d-28978343550e"]}],"mendeley":{"formattedCitation":"Abdullahi Ahmed An Na’im, &lt;i&gt;Dekonstruksi Syariah I&lt;/i&gt;.","manualFormatting":"Abdullahi Ahmed An-Na’im, Dekonstruksi Syariah I, 273.","plainTextFormattedCitation":"Abdullahi Ahmed An Na’im, Dekonstruksi Syariah I.","previouslyFormattedCitation":"Abdullahi Ahmed An Na’im, &lt;i&gt;Dekonstruksi Syariah I&lt;/i&gt;."},"properties":{"noteIndex":45},"schema":"https://github.com/citation-style-language/schema/raw/master/csl-citation.json"}</w:instrText>
      </w:r>
      <w:r w:rsidRPr="00AA250F">
        <w:rPr>
          <w:rFonts w:cstheme="majorBidi"/>
        </w:rPr>
        <w:fldChar w:fldCharType="separate"/>
      </w:r>
      <w:r w:rsidRPr="00AA250F">
        <w:rPr>
          <w:rFonts w:cstheme="majorBidi"/>
          <w:noProof/>
        </w:rPr>
        <w:t xml:space="preserve">Abdullahi Ahmed </w:t>
      </w:r>
      <w:r>
        <w:rPr>
          <w:rFonts w:cstheme="majorBidi"/>
          <w:noProof/>
        </w:rPr>
        <w:t>An-Na’im</w:t>
      </w:r>
      <w:r w:rsidRPr="00AA250F">
        <w:rPr>
          <w:rFonts w:cstheme="majorBidi"/>
          <w:noProof/>
        </w:rPr>
        <w:t xml:space="preserve">, </w:t>
      </w:r>
      <w:r w:rsidRPr="00AA250F">
        <w:rPr>
          <w:rFonts w:cstheme="majorBidi"/>
          <w:i/>
          <w:noProof/>
        </w:rPr>
        <w:t xml:space="preserve">Dekonstruksi Syariah I, </w:t>
      </w:r>
      <w:r w:rsidRPr="00AA250F">
        <w:rPr>
          <w:rFonts w:cstheme="majorBidi"/>
          <w:noProof/>
        </w:rPr>
        <w:t>273.</w:t>
      </w:r>
      <w:r w:rsidRPr="00AA250F">
        <w:rPr>
          <w:rFonts w:cstheme="majorBidi"/>
        </w:rPr>
        <w:fldChar w:fldCharType="end"/>
      </w:r>
    </w:p>
  </w:footnote>
  <w:footnote w:id="46">
    <w:p w:rsidR="00BA4B94" w:rsidRPr="008D1638" w:rsidRDefault="00BA4B94" w:rsidP="00F60299">
      <w:pPr>
        <w:pStyle w:val="FootnoteText"/>
        <w:jc w:val="both"/>
        <w:rPr>
          <w:rFonts w:cstheme="majorBidi"/>
        </w:rPr>
      </w:pPr>
      <w:r>
        <w:rPr>
          <w:rStyle w:val="FootnoteReference"/>
        </w:rPr>
        <w:footnoteRef/>
      </w:r>
      <w:r w:rsidRPr="008D1638">
        <w:rPr>
          <w:rFonts w:cstheme="majorBidi"/>
        </w:rPr>
        <w:t xml:space="preserve"> </w:t>
      </w:r>
      <w:r w:rsidRPr="008D1638">
        <w:rPr>
          <w:rFonts w:cstheme="majorBidi"/>
        </w:rPr>
        <w:fldChar w:fldCharType="begin" w:fldLock="1"/>
      </w:r>
      <w:r w:rsidR="00BF68A8">
        <w:rPr>
          <w:rFonts w:cstheme="majorBidi"/>
        </w:rPr>
        <w:instrText>ADDIN CSL_CITATION {"citationItems":[{"id":"ITEM-1","itemData":{"author":[{"dropping-particle":"","family":"Santoso","given":"Budi dan Ratih Dheviana","non-dropping-particle":"","parse-names":false,"suffix":""}],"container-title":"Jurnal Arena Hukum","id":"ITEM-1","issue":"3","issued":{"date-parts":[["2012"]]},"page":"201 - 209","title":"Eksistensi Asas Kebebasan Berkontrak dalam Perjanjian Kerja","type":"article-journal","volume":"6"},"uris":["http://www.mendeley.com/documents/?uuid=2527d88f-7294-42c2-af68-1a5ce5d91f86"]}],"mendeley":{"formattedCitation":"Budi dan Ratih Dheviana Santoso, “Eksistensi Asas Kebebasan Berkontrak Dalam Perjanjian Kerja,” &lt;i&gt;Jurnal Arena Hukum&lt;/i&gt; 6, no. 3 (2012): 201–9.","manualFormatting":"Budi dan Ratih Dheviana Santoso, “Eksistensi Asas Kebebasan Berkontrak Dalam Perjanjian Kerja,” Jurnal Arena Hukum 6, no. 3 (2012):203.","plainTextFormattedCitation":"Budi dan Ratih Dheviana Santoso, “Eksistensi Asas Kebebasan Berkontrak Dalam Perjanjian Kerja,” Jurnal Arena Hukum 6, no. 3 (2012): 201–9.","previouslyFormattedCitation":"Budi dan Ratih Dheviana Santoso, “Eksistensi Asas Kebebasan Berkontrak Dalam Perjanjian Kerja,” &lt;i&gt;Jurnal Arena Hukum&lt;/i&gt; 6, no. 3 (2012): 201–9."},"properties":{"noteIndex":46},"schema":"https://github.com/citation-style-language/schema/raw/master/csl-citation.json"}</w:instrText>
      </w:r>
      <w:r w:rsidRPr="008D1638">
        <w:rPr>
          <w:rFonts w:cstheme="majorBidi"/>
        </w:rPr>
        <w:fldChar w:fldCharType="separate"/>
      </w:r>
      <w:r w:rsidRPr="008D1638">
        <w:rPr>
          <w:rFonts w:cstheme="majorBidi"/>
          <w:noProof/>
        </w:rPr>
        <w:t xml:space="preserve">Budi dan Ratih Dheviana Santoso, “Eksistensi Asas Kebebasan Berkontrak Dalam Perjanjian Kerja,” </w:t>
      </w:r>
      <w:r w:rsidRPr="008D1638">
        <w:rPr>
          <w:rFonts w:cstheme="majorBidi"/>
          <w:i/>
          <w:noProof/>
        </w:rPr>
        <w:t>Jurnal Arena Hukum</w:t>
      </w:r>
      <w:r w:rsidRPr="008D1638">
        <w:rPr>
          <w:rFonts w:cstheme="majorBidi"/>
          <w:noProof/>
        </w:rPr>
        <w:t xml:space="preserve"> 6, no. 3 (2012):203.</w:t>
      </w:r>
      <w:r w:rsidRPr="008D1638">
        <w:rPr>
          <w:rFonts w:cstheme="majorBidi"/>
        </w:rPr>
        <w:fldChar w:fldCharType="end"/>
      </w:r>
    </w:p>
  </w:footnote>
  <w:footnote w:id="47">
    <w:p w:rsidR="00BA4B94" w:rsidRPr="00AA250F" w:rsidRDefault="00BA4B94"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{"citationItems":[{"id":"ITEM-1","itemData":{"DOI":"http://dx.doi.org/10.33096/hikam.v6i1.7","author":[{"dropping-particle":"","family":"Muhammad Irsan, Ma’ruf Hafidz","given":"dan Muhammad Kamal","non-dropping-particle":"","parse-names":false,"suffix":""}],"container-title":"Jurnal Hukum: Al Hikam","id":"ITEM-1","issue":"1","issued":{"date-parts":[["2019"]]},"page":"058 - 067","title":"PERLINDUNGAN HUKUM BAGI PEKERJA DALAM SISTEM PERJANJIAN KERJA WAKTU TERTENTU (PKWT)","type":"article-journal","volume":"6"},"uris":["http://www.mendeley.com/documents/?uuid=7eebf118-8fd5-4305-8c31-d81ca4dabb0d"]}],"mendeley":{"formattedCitation":"dan Muhammad Kamal Muhammad Irsan, Ma’ruf Hafidz, “PERLINDUNGAN HUKUM BAGI PEKERJA DALAM SISTEM PERJANJIAN KERJA WAKTU TERTENTU (PKWT),” &lt;i&gt;Jurnal Hukum: Al Hikam&lt;/i&gt; 6, no. 1 (2019): 058–067, https://doi.org/http://dx.doi.org/10.33096/hikam.v6i1.7.","manualFormatting":"Muhammad Kamal, Muhammad Irsan, dan Ma’ruf Hafidz, “Perlindungan Hukum Bagi Pekerja Dalam Sistem Perjanjian Kerja Waktu Tertentu (PKWT),” Jurnal Hukum: Al Hikam 6, no. 1 (2019): 061, https://doi.org/http://dx.doi.org/10.33096/hikam.v6i1.7.","plainTextFormattedCitation":"dan Muhammad Kamal Muhammad Irsan, Ma’ruf Hafidz, “PERLINDUNGAN HUKUM BAGI PEKERJA DALAM SISTEM PERJANJIAN KERJA WAKTU TERTENTU (PKWT),” Jurnal Hukum: Al Hikam 6, no. 1 (2019): 058–067, https://doi.org/http://dx.doi.org/10.33096/hikam.v6i1.7.","previouslyFormattedCitation":"dan Muhammad Kamal Muhammad Irsan, Ma’ruf Hafidz, “PERLINDUNGAN HUKUM BAGI PEKERJA DALAM SISTEM PERJANJIAN KERJA WAKTU TERTENTU (PKWT),” &lt;i&gt;Jurnal Hukum: Al Hikam&lt;/i&gt; 6, no. 1 (2019): 058–067, https://doi.org/http://dx.doi.org/10.33096/hikam.v6i1.7."},"properties":{"noteIndex":47},"schema":"https://github.com/citation-style-language/schema/raw/master/csl-citation.json"}</w:instrText>
      </w:r>
      <w:r w:rsidRPr="00AA250F">
        <w:rPr>
          <w:rFonts w:cstheme="majorBidi"/>
        </w:rPr>
        <w:fldChar w:fldCharType="separate"/>
      </w:r>
      <w:r w:rsidRPr="00AA250F">
        <w:rPr>
          <w:rFonts w:cstheme="majorBidi"/>
          <w:noProof/>
        </w:rPr>
        <w:t xml:space="preserve">Muhammad Kamal, Muhammad Irsan, dan Ma’ruf Hafidz, “Perlindungan Hukum Bagi Pekerja Dalam Sistem Perjanjian Kerja Waktu Tertentu (PKWT),” </w:t>
      </w:r>
      <w:r w:rsidRPr="00AA250F">
        <w:rPr>
          <w:rFonts w:cstheme="majorBidi"/>
          <w:i/>
          <w:noProof/>
        </w:rPr>
        <w:t>Jurnal Hukum: Al Hikam</w:t>
      </w:r>
      <w:r w:rsidRPr="00AA250F">
        <w:rPr>
          <w:rFonts w:cstheme="majorBidi"/>
          <w:noProof/>
        </w:rPr>
        <w:t xml:space="preserve"> 6, no. 1 (2019): 061, https://doi.org/http://dx.doi.org/10.33096/hikam.v6i1.7.</w:t>
      </w:r>
      <w:r w:rsidRPr="00AA250F">
        <w:rPr>
          <w:rFonts w:cstheme="majorBidi"/>
        </w:rPr>
        <w:fldChar w:fldCharType="end"/>
      </w:r>
    </w:p>
  </w:footnote>
  <w:footnote w:id="48">
    <w:p w:rsidR="001D5DEC" w:rsidRDefault="001D5DEC" w:rsidP="00F60299">
      <w:pPr>
        <w:pStyle w:val="FootnoteText"/>
        <w:jc w:val="both"/>
      </w:pPr>
      <w:r>
        <w:rPr>
          <w:rStyle w:val="FootnoteReference"/>
        </w:rPr>
        <w:footnoteRef/>
      </w:r>
      <w:r>
        <w:t xml:space="preserve"> </w:t>
      </w:r>
      <w:r w:rsidRPr="009E496F">
        <w:rPr>
          <w:rFonts w:cstheme="majorBidi"/>
        </w:rPr>
        <w:fldChar w:fldCharType="begin" w:fldLock="1"/>
      </w:r>
      <w:r w:rsidR="00BF68A8">
        <w:rPr>
          <w:rFonts w:cstheme="majorBidi"/>
        </w:rPr>
        <w:instrText>ADDIN CSL_CITATION {"citationItems":[{"id":"ITEM-1","itemData":{"DOI":": https://doi.org/10.36733/jhshs.v2i2","author":[{"dropping-particle":"","family":"Aprianti","given":"Duwi","non-dropping-particle":"","parse-names":false,"suffix":""}],"container-title":"Jurnal Hukum Saraswati (JHS)","id":"ITEM-1","issue":"01","issued":{"date-parts":[["2021"]]},"page":"70 - 82","title":"PERLINDUNGAN HUKUM TERHADAP PEKERJA DALAMPERJANJIAN KERJA WAKTU TERTENTU (PKWT)","type":"article-journal","volume":"03"},"uris":["http://www.mendeley.com/documents/?uuid=a5453dcf-b7d1-413b-8227-5829f72afdb7"]}],"mendeley":{"formattedCitation":"Duwi Aprianti, “PERLINDUNGAN HUKUM TERHADAP PEKERJA DALAMPERJANJIAN KERJA WAKTU TERTENTU (PKWT),” &lt;i&gt;Jurnal Hukum Saraswati (JHS)&lt;/i&gt; 03, no. 01 (2021): 70–82, https://doi.org/: https://doi.org/10.36733/jhshs.v2i2.","manualFormatting":"Duwi Aprianti, “Perlindungan Hukum Terhadap Pekerja dalam Perjanjian Kerja Waktu Tertentu (PKWT),” Jurnal Hukum Saraswati (JHS) 03, no. 01 (2021): 77, https://doi.org/: https://doi.org/10.36733/jhshs.v2i2.","plainTextFormattedCitation":"Duwi Aprianti, “PERLINDUNGAN HUKUM TERHADAP PEKERJA DALAMPERJANJIAN KERJA WAKTU TERTENTU (PKWT),” Jurnal Hukum Saraswati (JHS) 03, no. 01 (2021): 70–82, https://doi.org/: https://doi.org/10.36733/jhshs.v2i2.","previouslyFormattedCitation":"Duwi Aprianti, “PERLINDUNGAN HUKUM TERHADAP PEKERJA DALAMPERJANJIAN KERJA WAKTU TERTENTU (PKWT),” &lt;i&gt;Jurnal Hukum Saraswati (JHS)&lt;/i&gt; 03, no. 01 (2021): 70–82, https://doi.org/: https://doi.org/10.36733/jhshs.v2i2."},"properties":{"noteIndex":48},"schema":"https://github.com/citation-style-language/schema/raw/master/csl-citation.json"}</w:instrText>
      </w:r>
      <w:r w:rsidRPr="009E496F">
        <w:rPr>
          <w:rFonts w:cstheme="majorBidi"/>
        </w:rPr>
        <w:fldChar w:fldCharType="separate"/>
      </w:r>
      <w:r w:rsidRPr="009E496F">
        <w:rPr>
          <w:rFonts w:cstheme="majorBidi"/>
          <w:noProof/>
        </w:rPr>
        <w:t>Duwi Aprianti, “Perli</w:t>
      </w:r>
      <w:r>
        <w:rPr>
          <w:rFonts w:cstheme="majorBidi"/>
          <w:noProof/>
        </w:rPr>
        <w:t>ndungan Hukum Terhadap Pekerja d</w:t>
      </w:r>
      <w:r w:rsidRPr="009E496F">
        <w:rPr>
          <w:rFonts w:cstheme="majorBidi"/>
          <w:noProof/>
        </w:rPr>
        <w:t>alam</w:t>
      </w:r>
      <w:r>
        <w:rPr>
          <w:rFonts w:cstheme="majorBidi"/>
          <w:noProof/>
        </w:rPr>
        <w:t xml:space="preserve"> P</w:t>
      </w:r>
      <w:r w:rsidRPr="009E496F">
        <w:rPr>
          <w:rFonts w:cstheme="majorBidi"/>
          <w:noProof/>
        </w:rPr>
        <w:t xml:space="preserve">erjanjian Kerja Waktu Tertentu (PKWT),” </w:t>
      </w:r>
      <w:r w:rsidRPr="009E496F">
        <w:rPr>
          <w:rFonts w:cstheme="majorBidi"/>
          <w:i/>
          <w:noProof/>
        </w:rPr>
        <w:t>Jurnal Hukum Saraswati (JHS)</w:t>
      </w:r>
      <w:r>
        <w:rPr>
          <w:rFonts w:cstheme="majorBidi"/>
          <w:noProof/>
        </w:rPr>
        <w:t xml:space="preserve"> 03, no. 01 (2021): 77</w:t>
      </w:r>
      <w:r w:rsidRPr="009E496F">
        <w:rPr>
          <w:rFonts w:cstheme="majorBidi"/>
          <w:noProof/>
        </w:rPr>
        <w:t>, https://doi.org/: https://doi.org/10.36733/jhshs.v2i2.</w:t>
      </w:r>
      <w:r w:rsidRPr="009E496F">
        <w:rPr>
          <w:rFonts w:cstheme="majorBidi"/>
        </w:rPr>
        <w:fldChar w:fldCharType="end"/>
      </w:r>
    </w:p>
  </w:footnote>
  <w:footnote w:id="49">
    <w:p w:rsidR="001D5DEC" w:rsidRDefault="001D5DEC" w:rsidP="00F60299">
      <w:pPr>
        <w:pStyle w:val="FootnoteText"/>
        <w:jc w:val="both"/>
      </w:pPr>
      <w:r>
        <w:rPr>
          <w:rStyle w:val="FootnoteReference"/>
        </w:rPr>
        <w:footnoteRef/>
      </w:r>
      <w:r>
        <w:t xml:space="preserve"> </w:t>
      </w:r>
      <w:r w:rsidRPr="009B1535">
        <w:rPr>
          <w:rFonts w:cstheme="majorBidi"/>
        </w:rPr>
        <w:fldChar w:fldCharType="begin" w:fldLock="1"/>
      </w:r>
      <w:r w:rsidR="00BF68A8">
        <w:rPr>
          <w:rFonts w:cstheme="majorBidi"/>
        </w:rPr>
        <w:instrText>ADDIN CSL_CITATION {"citationItems":[{"id":"ITEM-1","itemData":{"DOI":"https://doi.org/10.18860/j.v9i2.5076","author":[{"dropping-particle":"","family":"Dwi Fidhayanti","given":"","non-dropping-particle":"","parse-names":false,"suffix":""}],"container-title":"Jurisdictie: Jurnal Hukum dan Syariah","id":"ITEM-1","issue":"2","issued":{"date-parts":[["2018"]]},"page":"165 - 183","title":"PENYALAHGUNAAN KEADAAN (MISBRUIK VAN OMSTANDIGHEDEN) SEBAGAI LARANGAN DALAM PERJANJIAN SYARIAH","type":"article-journal","volume":"9"},"uris":["http://www.mendeley.com/documents/?uuid=d4810425-645c-4685-b946-6d8526af9737"]}],"mendeley":{"formattedCitation":"Dwi Fidhayanti, “PENYALAHGUNAAN KEADAAN (MISBRUIK VAN OMSTANDIGHEDEN) SEBAGAI LARANGAN DALAM PERJANJIAN SYARIAH.”","manualFormatting":"Dwi Fidhayanti, “Penyalahgunaan Keadaan (Misbruik Van Omstandigheden) Sebagai Larangan Dalam Perjanjian Syariah.”","plainTextFormattedCitation":"Dwi Fidhayanti, “PENYALAHGUNAAN KEADAAN (MISBRUIK VAN OMSTANDIGHEDEN) SEBAGAI LARANGAN DALAM PERJANJIAN SYARIAH.”","previouslyFormattedCitation":"Dwi Fidhayanti, “PENYALAHGUNAAN KEADAAN (MISBRUIK VAN OMSTANDIGHEDEN) SEBAGAI LARANGAN DALAM PERJANJIAN SYARIAH.”"},"properties":{"noteIndex":49},"schema":"https://github.com/citation-style-language/schema/raw/master/csl-citation.json"}</w:instrText>
      </w:r>
      <w:r w:rsidRPr="009B1535">
        <w:rPr>
          <w:rFonts w:cstheme="majorBidi"/>
        </w:rPr>
        <w:fldChar w:fldCharType="separate"/>
      </w:r>
      <w:r w:rsidRPr="009B1535">
        <w:rPr>
          <w:rFonts w:cstheme="majorBidi"/>
          <w:noProof/>
        </w:rPr>
        <w:t>Dwi Fidhayanti, “Penyalahgunaan Keadaan (Misbruik Van Omstandigheden) Sebagai Larangan Dalam Perjanjian Syariah.”</w:t>
      </w:r>
      <w:r w:rsidRPr="009B1535">
        <w:rPr>
          <w:rFonts w:cstheme="majorBidi"/>
        </w:rPr>
        <w:fldChar w:fldCharType="end"/>
      </w:r>
      <w:r w:rsidRPr="009B1535">
        <w:rPr>
          <w:rFonts w:cstheme="majorBidi"/>
        </w:rPr>
        <w:t>: 167</w:t>
      </w:r>
    </w:p>
  </w:footnote>
  <w:footnote w:id="50">
    <w:p w:rsidR="001D5DEC" w:rsidRDefault="001D5DEC" w:rsidP="00F60299">
      <w:pPr>
        <w:pStyle w:val="FootnoteText"/>
        <w:jc w:val="both"/>
      </w:pPr>
      <w:r>
        <w:rPr>
          <w:rStyle w:val="FootnoteReference"/>
        </w:rPr>
        <w:footnoteRef/>
      </w:r>
      <w:r>
        <w:t xml:space="preserve"> </w:t>
      </w:r>
      <w:r w:rsidRPr="00BF17EC">
        <w:rPr>
          <w:rFonts w:cstheme="majorBidi"/>
        </w:rPr>
        <w:fldChar w:fldCharType="begin" w:fldLock="1"/>
      </w:r>
      <w:r w:rsidR="00BF68A8">
        <w:rPr>
          <w:rFonts w:cstheme="majorBidi"/>
        </w:rPr>
        <w:instrText>ADDIN CSL_CITATION {"citationItems":[{"id":"ITEM-1","itemData":{"author":[{"dropping-particle":"","family":"Himlah","given":"","non-dropping-particle":"","parse-names":false,"suffix":""}],"container-title":"Oratorio","id":"ITEM-1","issue":"1","issued":{"date-parts":[["2021"]]},"page":"1 - 18","title":"Pengaruh Job Security Terhadap Komitmen Organisasi Dengan Motivasi Kerja Sebagai Mediator Di PT. Wahana Ottomitra Finance Jakarta","type":"article-journal","volume":"5"},"uris":["http://www.mendeley.com/documents/?uuid=31e8b7ae-8607-4350-b81a-88757645ba80"]}],"mendeley":{"formattedCitation":"Himlah, “Pengaruh Job Security Terhadap Komitmen Organisasi Dengan Motivasi Kerja Sebagai Mediator Di PT. Wahana Ottomitra Finance Jakarta,” &lt;i&gt;Oratorio&lt;/i&gt; 5, no. 1 (2021): 1–18.","manualFormatting":"Himlah, “Pengaruh Job Security Terhadap Komitmen Organisasi Dengan Motivasi Kerja Sebagai Mediator Di PT. Wahana Ottomitra Finance Jakarta,” Oratorio 5, no. 1 (2021): 5.","plainTextFormattedCitation":"Himlah, “Pengaruh Job Security Terhadap Komitmen Organisasi Dengan Motivasi Kerja Sebagai Mediator Di PT. Wahana Ottomitra Finance Jakarta,” Oratorio 5, no. 1 (2021): 1–18.","previouslyFormattedCitation":"Himlah, “Pengaruh Job Security Terhadap Komitmen Organisasi Dengan Motivasi Kerja Sebagai Mediator Di PT. Wahana Ottomitra Finance Jakarta,” &lt;i&gt;Oratorio&lt;/i&gt; 5, no. 1 (2021): 1–18."},"properties":{"noteIndex":50},"schema":"https://github.com/citation-style-language/schema/raw/master/csl-citation.json"}</w:instrText>
      </w:r>
      <w:r w:rsidRPr="00BF17EC">
        <w:rPr>
          <w:rFonts w:cstheme="majorBidi"/>
        </w:rPr>
        <w:fldChar w:fldCharType="separate"/>
      </w:r>
      <w:r w:rsidRPr="00BF17EC">
        <w:rPr>
          <w:rFonts w:cstheme="majorBidi"/>
          <w:noProof/>
        </w:rPr>
        <w:t xml:space="preserve">Himlah, “Pengaruh Job Security Terhadap Komitmen Organisasi Dengan Motivasi Kerja Sebagai Mediator Di PT. Wahana Ottomitra Finance Jakarta,” </w:t>
      </w:r>
      <w:r w:rsidRPr="00BF17EC">
        <w:rPr>
          <w:rFonts w:cstheme="majorBidi"/>
          <w:i/>
          <w:noProof/>
        </w:rPr>
        <w:t>Oratorio</w:t>
      </w:r>
      <w:r w:rsidRPr="00BF17EC">
        <w:rPr>
          <w:rFonts w:cstheme="majorBidi"/>
          <w:noProof/>
        </w:rPr>
        <w:t xml:space="preserve"> 5, no. 1 (2021): 5.</w:t>
      </w:r>
      <w:r w:rsidRPr="00BF17EC">
        <w:rPr>
          <w:rFonts w:cstheme="majorBidi"/>
        </w:rPr>
        <w:fldChar w:fldCharType="end"/>
      </w:r>
    </w:p>
  </w:footnote>
  <w:footnote w:id="51">
    <w:p w:rsidR="000F3058" w:rsidRPr="00AA250F" w:rsidRDefault="000F3058"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C42DB4">
        <w:rPr>
          <w:rFonts w:cstheme="majorBidi"/>
        </w:rPr>
        <w:instrText>ADDIN CSL_CITATION {"citationItems":[{"id":"ITEM-1","itemData":{"DOI":"10.21154/justicia.v19i1.3282","author":[{"dropping-particle":"","family":"Siti Rohmah","given":"Moh Anas Kholish dan Andi Muhammad Galib","non-dropping-particle":"","parse-names":false,"suffix":""}],"container-title":"JUsticia Islamica","id":"ITEM-1","issue":"1","issued":{"date-parts":[["2022"]]},"page":"153 - 170","title":"Human Rights and Islamic Law Discourse: The Epistemological Construction of Abul A’la Al-Maududi, Abdullahi Ahmed An-Naim, and Mashood A. Baderin","type":"article-journal","volume":"19"},"uris":["http://www.mendeley.com/documents/?uuid=a738d84d-3c9b-4252-a389-ba917ea502e6"]}],"mendeley":{"formattedCitation":"Siti Rohmah, “Human Rights and Islamic Law Discourse: The Epistemological Construction of Abul A’la Al-Maududi, Abdullahi Ahmed An-Naim, and Mashood A. Baderin.”","manualFormatting":"Siti Rohmah Moh Anas Kholish dan Andi Muhammad Galib, “Human Rights and Islamic Law Discourse: The Epistemological Construction of Abul A’la Al-Maududi, Abdullahi Ahmed An-Naim, and Mashood A. Baderin,” JUsticia Islamica 19, no. 1 (2022): 168, https://doi.org/10.21154/justicia.v19i1.3282.","plainTextFormattedCitation":"Siti Rohmah, “Human Rights and Islamic Law Discourse: The Epistemological Construction of Abul A’la Al-Maududi, Abdullahi Ahmed An-Naim, and Mashood A. Baderin.”","previouslyFormattedCitation":"Siti Rohmah, “Human Rights and Islamic Law Discourse: The Epistemological Construction of Abul A’la Al-Maududi, Abdullahi Ahmed An-Naim, and Mashood A. Baderin.”"},"properties":{"noteIndex":51},"schema":"https://github.com/citation-style-language/schema/raw/master/csl-citation.json"}</w:instrText>
      </w:r>
      <w:r w:rsidRPr="00AA250F">
        <w:rPr>
          <w:rFonts w:cstheme="majorBidi"/>
        </w:rPr>
        <w:fldChar w:fldCharType="separate"/>
      </w:r>
      <w:r w:rsidRPr="00AA250F">
        <w:rPr>
          <w:rFonts w:cstheme="majorBidi"/>
          <w:noProof/>
        </w:rPr>
        <w:t>Siti Rohmah</w:t>
      </w:r>
      <w:r w:rsidR="00695919">
        <w:rPr>
          <w:rFonts w:cstheme="majorBidi"/>
          <w:noProof/>
        </w:rPr>
        <w:t>,</w:t>
      </w:r>
      <w:r w:rsidRPr="00AA250F">
        <w:rPr>
          <w:rFonts w:cstheme="majorBidi"/>
          <w:noProof/>
        </w:rPr>
        <w:t xml:space="preserve"> Moh Anas Kholish dan Andi Muhammad Galib, “</w:t>
      </w:r>
      <w:r w:rsidRPr="00AA250F">
        <w:rPr>
          <w:rFonts w:cstheme="majorBidi"/>
          <w:i/>
          <w:iCs/>
          <w:noProof/>
        </w:rPr>
        <w:t>Human Rights and Islamic Law Discourse: The Epistemological Construction of</w:t>
      </w:r>
      <w:r w:rsidRPr="00AA250F">
        <w:rPr>
          <w:rFonts w:cstheme="majorBidi"/>
          <w:noProof/>
        </w:rPr>
        <w:t xml:space="preserve"> Abul A’la Al-Maududi, Abdullahi Ahmed An-Naim, and Mashood A. Baderin,” </w:t>
      </w:r>
      <w:r w:rsidRPr="00AA250F">
        <w:rPr>
          <w:rFonts w:cstheme="majorBidi"/>
          <w:i/>
          <w:noProof/>
        </w:rPr>
        <w:t>JUsticia Islamica</w:t>
      </w:r>
      <w:r w:rsidRPr="00AA250F">
        <w:rPr>
          <w:rFonts w:cstheme="majorBidi"/>
          <w:noProof/>
        </w:rPr>
        <w:t xml:space="preserve"> 19, no. 1 (2022): 168, https://doi.org/10.21154/justicia.v19i1.3282.</w:t>
      </w:r>
      <w:r w:rsidRPr="00AA250F">
        <w:rPr>
          <w:rFonts w:cstheme="majorBidi"/>
        </w:rPr>
        <w:fldChar w:fldCharType="end"/>
      </w:r>
    </w:p>
  </w:footnote>
  <w:footnote w:id="52">
    <w:p w:rsidR="000F3058" w:rsidRPr="00AA250F" w:rsidRDefault="000F3058"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{"citationItems":[{"id":"ITEM-1","itemData":{"author":[{"dropping-particle":"","family":"Abdullahi Ahmed An Na’im","given":"","non-dropping-particle":"","parse-names":false,"suffix":""}],"id":"ITEM-1","issued":{"date-parts":[["2007"]]},"publisher":"Mizan","publisher-place":"Bandung","title":"Islam dan Negara Sekuler; Menegosiasikan Masa Depan Syariah","type":"book"},"uris":["http://www.mendeley.com/documents/?uuid=d455ec00-90de-4b38-8041-02a23005487f"]}],"mendeley":{"formattedCitation":"Abdullahi Ahmed An Na’im, &lt;i&gt;Islam Dan Negara Sekuler; Menegosiasikan Masa Depan Syariah&lt;/i&gt;.","manualFormatting":"Abdullahi Ahmed An-Na’im, Islam dan Negara Sekuler; Menegosiasikan Masa Depan Syariah, 178 - 179.","plainTextFormattedCitation":"Abdullahi Ahmed An Na’im, Islam Dan Negara Sekuler; Menegosiasikan Masa Depan Syariah.","previouslyFormattedCitation":"Abdullahi Ahmed An Na’im, &lt;i&gt;Islam Dan Negara Sekuler; Menegosiasikan Masa Depan Syariah&lt;/i&gt;."},"properties":{"noteIndex":52},"schema":"https://github.com/citation-style-language/schema/raw/master/csl-citation.json"}</w:instrText>
      </w:r>
      <w:r w:rsidRPr="00AA250F">
        <w:rPr>
          <w:rFonts w:cstheme="majorBidi"/>
        </w:rPr>
        <w:fldChar w:fldCharType="separate"/>
      </w:r>
      <w:r w:rsidRPr="00AA250F">
        <w:rPr>
          <w:rFonts w:cstheme="majorBidi"/>
          <w:noProof/>
        </w:rPr>
        <w:t xml:space="preserve">Abdullahi Ahmed </w:t>
      </w:r>
      <w:r>
        <w:rPr>
          <w:rFonts w:cstheme="majorBidi"/>
          <w:noProof/>
        </w:rPr>
        <w:t>An-Na’im</w:t>
      </w:r>
      <w:r w:rsidRPr="00AA250F">
        <w:rPr>
          <w:rFonts w:cstheme="majorBidi"/>
          <w:noProof/>
        </w:rPr>
        <w:t xml:space="preserve">, </w:t>
      </w:r>
      <w:r w:rsidRPr="00AA250F">
        <w:rPr>
          <w:rFonts w:cstheme="majorBidi"/>
          <w:i/>
          <w:noProof/>
        </w:rPr>
        <w:t xml:space="preserve">Islam dan Negara Sekuler; Menegosiasikan Masa Depan Syariah, </w:t>
      </w:r>
      <w:r w:rsidRPr="00AA250F">
        <w:rPr>
          <w:rFonts w:cstheme="majorBidi"/>
          <w:iCs/>
          <w:noProof/>
        </w:rPr>
        <w:t>178 - 179</w:t>
      </w:r>
      <w:r w:rsidRPr="00AA250F">
        <w:rPr>
          <w:rFonts w:cstheme="majorBidi"/>
          <w:noProof/>
        </w:rPr>
        <w:t>.</w:t>
      </w:r>
      <w:r w:rsidRPr="00AA250F">
        <w:rPr>
          <w:rFonts w:cstheme="majorBidi"/>
        </w:rPr>
        <w:fldChar w:fldCharType="end"/>
      </w:r>
    </w:p>
  </w:footnote>
  <w:footnote w:id="53">
    <w:p w:rsidR="000F3058" w:rsidRPr="00AA250F" w:rsidRDefault="000F3058"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{"citationItems":[{"id":"ITEM-1","itemData":{"author":[{"dropping-particle":"","family":"ZULFA","given":"EVA ACHJANI","non-dropping-particle":"","parse-names":false,"suffix":""}],"container-title":"Lex Jurnalica","id":"ITEM-1","issue":"1","issued":{"date-parts":[["2005"]]},"page":"11 - 23","title":"MENELAAH ARTI HAK UNTUK HIDUP SEBAGAI HAK ASASI MANUSIA","type":"article-journal","volume":"3"},"uris":["http://www.mendeley.com/documents/?uuid=a3c466d2-c1a7-4d43-8dbf-fe363d428d43"]}],"mendeley":{"formattedCitation":"EVA ACHJANI ZULFA, “MENELAAH ARTI HAK UNTUK HIDUP SEBAGAI HAK ASASI MANUSIA,” &lt;i&gt;Lex Jurnalica&lt;/i&gt; 3, no. 1 (2005): 11–23, https://digilib.esaunggul.ac.id/public/UEU-Journal-4681-EVA_ACHJANI_ZULFA.pdf.","manualFormatting":"Eva Achjani Zulfa, “Menelaah Arti Hak Untuk Hidup Sebagai Hak Asasi Manusia,” Lex Jurnalica 3, no. 1 (2005): 15, https://digilib.esaunggul.ac.id/public/UEU-Journal-4681-EVA_ACHJANI_ZULFA.pdf.","plainTextFormattedCitation":"EVA ACHJANI ZULFA, “MENELAAH ARTI HAK UNTUK HIDUP SEBAGAI HAK ASASI MANUSIA,” Lex Jurnalica 3, no. 1 (2005): 11–23, https://digilib.esaunggul.ac.id/public/UEU-Journal-4681-EVA_ACHJANI_ZULFA.pdf.","previouslyFormattedCitation":"EVA ACHJANI ZULFA, “MENELAAH ARTI HAK UNTUK HIDUP SEBAGAI HAK ASASI MANUSIA,” &lt;i&gt;Lex Jurnalica&lt;/i&gt; 3, no. 1 (2005): 11–23, https://digilib.esaunggul.ac.id/public/UEU-Journal-4681-EVA_ACHJANI_ZULFA.pdf."},"properties":{"noteIndex":53},"schema":"https://github.com/citation-style-language/schema/raw/master/csl-citation.json"}</w:instrText>
      </w:r>
      <w:r w:rsidRPr="00AA250F">
        <w:rPr>
          <w:rFonts w:cstheme="majorBidi"/>
        </w:rPr>
        <w:fldChar w:fldCharType="separate"/>
      </w:r>
      <w:r>
        <w:rPr>
          <w:rFonts w:cstheme="majorBidi"/>
          <w:noProof/>
        </w:rPr>
        <w:t>E</w:t>
      </w:r>
      <w:r w:rsidRPr="00AA250F">
        <w:rPr>
          <w:rFonts w:cstheme="majorBidi"/>
          <w:noProof/>
        </w:rPr>
        <w:t xml:space="preserve">va Achjani Zulfa, “Menelaah Arti Hak Untuk Hidup Sebagai Hak Asasi Manusia,” </w:t>
      </w:r>
      <w:r w:rsidRPr="00AA250F">
        <w:rPr>
          <w:rFonts w:cstheme="majorBidi"/>
          <w:i/>
          <w:noProof/>
        </w:rPr>
        <w:t>Lex Jurnalica</w:t>
      </w:r>
      <w:r w:rsidRPr="00AA250F">
        <w:rPr>
          <w:rFonts w:cstheme="majorBidi"/>
          <w:noProof/>
        </w:rPr>
        <w:t xml:space="preserve"> 3, no. 1 (2005): 15, https://digilib.esaunggul.ac.id/public/UEU-Journal-4681-EVA_ACHJANI_ZULFA.pdf.</w:t>
      </w:r>
      <w:r w:rsidRPr="00AA250F">
        <w:rPr>
          <w:rFonts w:cstheme="majorBidi"/>
        </w:rPr>
        <w:fldChar w:fldCharType="end"/>
      </w:r>
    </w:p>
  </w:footnote>
  <w:footnote w:id="54">
    <w:p w:rsidR="000F3058" w:rsidRPr="00AA250F" w:rsidRDefault="000F3058" w:rsidP="00F60299">
      <w:pPr>
        <w:spacing w:line="240" w:lineRule="auto"/>
        <w:jc w:val="both"/>
        <w:rPr>
          <w:rFonts w:cstheme="majorBidi"/>
          <w:color w:val="FF0000"/>
          <w:sz w:val="20"/>
          <w:szCs w:val="20"/>
        </w:rPr>
      </w:pPr>
      <w:r w:rsidRPr="00AA250F">
        <w:rPr>
          <w:rStyle w:val="FootnoteReference"/>
          <w:rFonts w:cstheme="majorBidi"/>
        </w:rPr>
        <w:footnoteRef/>
      </w:r>
      <w:r w:rsidRPr="00AA250F">
        <w:rPr>
          <w:rFonts w:cstheme="majorBidi"/>
          <w:sz w:val="20"/>
          <w:szCs w:val="20"/>
        </w:rPr>
        <w:t xml:space="preserve"> </w:t>
      </w:r>
      <w:r w:rsidRPr="00AA250F">
        <w:rPr>
          <w:rFonts w:cstheme="majorBidi"/>
          <w:color w:val="000000" w:themeColor="text1"/>
          <w:sz w:val="20"/>
          <w:szCs w:val="20"/>
        </w:rPr>
        <w:t xml:space="preserve">Pasal 28 A </w:t>
      </w:r>
      <w:r>
        <w:rPr>
          <w:rFonts w:cstheme="majorBidi"/>
          <w:color w:val="000000" w:themeColor="text1"/>
          <w:sz w:val="20"/>
          <w:szCs w:val="20"/>
        </w:rPr>
        <w:t>U</w:t>
      </w:r>
      <w:r>
        <w:rPr>
          <w:rFonts w:cstheme="majorBidi"/>
          <w:color w:val="000000" w:themeColor="text1"/>
          <w:sz w:val="20"/>
          <w:szCs w:val="20"/>
          <w:lang w:val="id-ID"/>
        </w:rPr>
        <w:t>U</w:t>
      </w:r>
      <w:r w:rsidRPr="00AA250F">
        <w:rPr>
          <w:rFonts w:cstheme="majorBidi"/>
          <w:color w:val="000000" w:themeColor="text1"/>
          <w:sz w:val="20"/>
          <w:szCs w:val="20"/>
        </w:rPr>
        <w:t xml:space="preserve">D 1945 menyebutkan bahwa setiap orang berhak untuk hidup serta berhak untuk mempertahankan hidup dan kehidupannya. Pasal 28 I Ayat (1) juga menyebutkan bahwa hak untuk hidup, hak untuk tidak disiksa, hak kemerdekaan pikiran dan hati nurani, hak beragama, hak untuk tidak berbudak, hak untuk diakui sebagai pribadi di hadapan hukum, dan hak untuk tidak dituntut atas dasarhhukum yang berlaku surut adalah hak asasi manusia yang tidak dapat dikurangi dalam keadaan apapun. Begitupun dalam Pasal 9 Ayat (1, 2, dan 3)  </w:t>
      </w:r>
      <w:r>
        <w:rPr>
          <w:rFonts w:cstheme="majorBidi"/>
          <w:color w:val="000000" w:themeColor="text1"/>
          <w:sz w:val="20"/>
          <w:szCs w:val="20"/>
        </w:rPr>
        <w:t>U</w:t>
      </w:r>
      <w:r>
        <w:rPr>
          <w:rFonts w:cstheme="majorBidi"/>
          <w:color w:val="000000" w:themeColor="text1"/>
          <w:sz w:val="20"/>
          <w:szCs w:val="20"/>
          <w:lang w:val="id-ID"/>
        </w:rPr>
        <w:t>ndang-Undang</w:t>
      </w:r>
      <w:r w:rsidRPr="00AA250F">
        <w:rPr>
          <w:rFonts w:cstheme="majorBidi"/>
          <w:color w:val="000000" w:themeColor="text1"/>
          <w:sz w:val="20"/>
          <w:szCs w:val="20"/>
        </w:rPr>
        <w:t xml:space="preserve"> No. 39 tahun 1999 tentang HAM menyebutkan bahwa setiap orang berhak untuk hidup, mempertahankan hidup dan meningkatkan taraf kehidupannya. Setiap orang berhak untuk hidup tenteram, aman, damai, bahagia, sejahtera lahir dan bathin. Setiap orang berhak atas lingkungan hidup yang baik dan sehat.</w:t>
      </w:r>
    </w:p>
  </w:footnote>
  <w:footnote w:id="55">
    <w:p w:rsidR="000F3058" w:rsidRPr="00AA250F" w:rsidRDefault="000F3058"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{"citationItems":[{"id":"ITEM-1","itemData":{"author":[{"dropping-particle":"","family":"Abdullahi Ahmed An Na’im","given":"","non-dropping-particle":"","parse-names":false,"suffix":""}],"edition":"4","id":"ITEM-1","issued":{"date-parts":[["2004"]]},"publisher":"LKiS","publisher-place":"Yogyakarta","title":"Dekonstruksi Syariah I","type":"book"},"uris":["http://www.mendeley.com/documents/?uuid=4ac10e06-5402-4ce3-964d-28978343550e"]}],"mendeley":{"formattedCitation":"Abdullahi Ahmed An Na’im, &lt;i&gt;Dekonstruksi Syariah I&lt;/i&gt;.","manualFormatting":"Abdullahi Ahmed an-Na’im, Dekonstruksi Syariah I, 270.","plainTextFormattedCitation":"Abdullahi Ahmed An Na’im, Dekonstruksi Syariah I.","previouslyFormattedCitation":"Abdullahi Ahmed An Na’im, &lt;i&gt;Dekonstruksi Syariah I&lt;/i&gt;."},"properties":{"noteIndex":55},"schema":"https://github.com/citation-style-language/schema/raw/master/csl-citation.json"}</w:instrText>
      </w:r>
      <w:r w:rsidRPr="00AA250F">
        <w:rPr>
          <w:rFonts w:cstheme="majorBidi"/>
        </w:rPr>
        <w:fldChar w:fldCharType="separate"/>
      </w:r>
      <w:r w:rsidRPr="00AA250F">
        <w:rPr>
          <w:rFonts w:cstheme="majorBidi"/>
          <w:noProof/>
        </w:rPr>
        <w:t xml:space="preserve">Abdullahi Ahmed </w:t>
      </w:r>
      <w:r>
        <w:rPr>
          <w:rFonts w:cstheme="majorBidi"/>
          <w:noProof/>
          <w:lang w:val="id-ID"/>
        </w:rPr>
        <w:t>a</w:t>
      </w:r>
      <w:r>
        <w:rPr>
          <w:rFonts w:cstheme="majorBidi"/>
          <w:noProof/>
        </w:rPr>
        <w:t>n-Na’im</w:t>
      </w:r>
      <w:r w:rsidRPr="00AA250F">
        <w:rPr>
          <w:rFonts w:cstheme="majorBidi"/>
          <w:noProof/>
        </w:rPr>
        <w:t xml:space="preserve">, </w:t>
      </w:r>
      <w:r w:rsidRPr="00AA250F">
        <w:rPr>
          <w:rFonts w:cstheme="majorBidi"/>
          <w:i/>
          <w:noProof/>
        </w:rPr>
        <w:t xml:space="preserve">Dekonstruksi Syariah I, </w:t>
      </w:r>
      <w:r w:rsidRPr="00AA250F">
        <w:rPr>
          <w:rFonts w:cstheme="majorBidi"/>
          <w:iCs/>
          <w:noProof/>
        </w:rPr>
        <w:t>270</w:t>
      </w:r>
      <w:r w:rsidRPr="00AA250F">
        <w:rPr>
          <w:rFonts w:cstheme="majorBidi"/>
          <w:noProof/>
        </w:rPr>
        <w:t>.</w:t>
      </w:r>
      <w:r w:rsidRPr="00AA250F">
        <w:rPr>
          <w:rFonts w:cstheme="majorBidi"/>
        </w:rPr>
        <w:fldChar w:fldCharType="end"/>
      </w:r>
    </w:p>
  </w:footnote>
  <w:footnote w:id="56">
    <w:p w:rsidR="000F3058" w:rsidRPr="00AA250F" w:rsidRDefault="000F3058" w:rsidP="00F60299">
      <w:pPr>
        <w:pStyle w:val="FootnoteText"/>
        <w:jc w:val="both"/>
        <w:rPr>
          <w:rFonts w:cstheme="majorBidi"/>
        </w:rPr>
      </w:pPr>
      <w:r w:rsidRPr="00AA250F">
        <w:rPr>
          <w:rStyle w:val="FootnoteReference"/>
          <w:rFonts w:cstheme="majorBidi"/>
        </w:rPr>
        <w:footnoteRef/>
      </w:r>
      <w:r w:rsidRPr="00AA250F">
        <w:rPr>
          <w:rFonts w:cstheme="majorBidi"/>
        </w:rPr>
        <w:t xml:space="preserve"> Pasal 4 huruf (c) </w:t>
      </w:r>
      <w:r w:rsidRPr="00AA250F">
        <w:rPr>
          <w:rFonts w:cstheme="majorBidi"/>
        </w:rPr>
        <w:fldChar w:fldCharType="begin" w:fldLock="1"/>
      </w:r>
      <w:r w:rsidR="00BF68A8">
        <w:rPr>
          <w:rFonts w:cstheme="majorBidi"/>
        </w:rPr>
        <w:instrText>ADDIN CSL_CITATION {"citationItems":[{"id":"ITEM-1","itemData":{"id":"ITEM-1","issued":{"date-parts":[["0"]]},"title":"Undang-Undang Nomor 13 Tahun 2003 tentang Ketenagakerjaan","type":"legislation"},"uris":["http://www.mendeley.com/documents/?uuid=755e7f77-ea54-442b-b6a8-069e1a8bd1ff"]}],"mendeley":{"formattedCitation":"Undang-Undang Nomor 13 Tahun 2003 tentang Ketenagakerjaan.","manualFormatting":"Undang-Undang Nomor 13 Tahun 2003 tentang Ketenagakerjaan","plainTextFormattedCitation":"Undang-Undang Nomor 13 Tahun 2003 tentang Ketenagakerjaan.","previouslyFormattedCitation":"Undang-Undang Nomor 13 Tahun 2003 tentang Ketenagakerjaan."},"properties":{"noteIndex":56},"schema":"https://github.com/citation-style-language/schema/raw/master/csl-citation.json"}</w:instrText>
      </w:r>
      <w:r w:rsidRPr="00AA250F">
        <w:rPr>
          <w:rFonts w:cstheme="majorBidi"/>
        </w:rPr>
        <w:fldChar w:fldCharType="separate"/>
      </w:r>
      <w:r>
        <w:rPr>
          <w:rFonts w:cstheme="majorBidi"/>
          <w:noProof/>
        </w:rPr>
        <w:t>U</w:t>
      </w:r>
      <w:r>
        <w:rPr>
          <w:rFonts w:cstheme="majorBidi"/>
          <w:noProof/>
          <w:lang w:val="id-ID"/>
        </w:rPr>
        <w:t>ndang-Undang</w:t>
      </w:r>
      <w:r w:rsidRPr="00AA250F">
        <w:rPr>
          <w:rFonts w:cstheme="majorBidi"/>
          <w:noProof/>
        </w:rPr>
        <w:t xml:space="preserve"> Nomor 13 Tahun 2003 tentang Ketenagakerjaan</w:t>
      </w:r>
      <w:r w:rsidRPr="00AA250F">
        <w:rPr>
          <w:rFonts w:cstheme="majorBidi"/>
        </w:rPr>
        <w:fldChar w:fldCharType="end"/>
      </w:r>
      <w:r w:rsidRPr="00AA250F">
        <w:rPr>
          <w:rFonts w:cstheme="majorBidi"/>
        </w:rPr>
        <w:t xml:space="preserve"> menyebutkan bahwa pembangunan hukum ketenagakerjaan bertujuan untuk memberikan perlindungan kepada tenaga kerja dalam mewujudkan kesejahteraan.</w:t>
      </w:r>
    </w:p>
  </w:footnote>
  <w:footnote w:id="57">
    <w:p w:rsidR="000F3058" w:rsidRPr="00AA250F" w:rsidRDefault="000F3058" w:rsidP="00F60299">
      <w:pPr>
        <w:pStyle w:val="FootnoteText"/>
        <w:jc w:val="both"/>
        <w:rPr>
          <w:rFonts w:cstheme="majorBidi"/>
        </w:rPr>
      </w:pPr>
      <w:r w:rsidRPr="00AA250F">
        <w:rPr>
          <w:rStyle w:val="FootnoteReference"/>
          <w:rFonts w:cstheme="majorBidi"/>
        </w:rPr>
        <w:footnoteRef/>
      </w:r>
      <w:r w:rsidRPr="00AA250F">
        <w:rPr>
          <w:rFonts w:cstheme="majorBidi"/>
        </w:rPr>
        <w:t xml:space="preserve"> Kehidupan ekonomi dengan corak hegemoni kapitalisme financial, beroprasi melalui “</w:t>
      </w:r>
      <w:r w:rsidRPr="00AA250F">
        <w:rPr>
          <w:rFonts w:cstheme="majorBidi"/>
          <w:i/>
          <w:iCs/>
        </w:rPr>
        <w:t>dis-solution subjec</w:t>
      </w:r>
      <w:r w:rsidRPr="00AA250F">
        <w:rPr>
          <w:rFonts w:cstheme="majorBidi"/>
        </w:rPr>
        <w:t xml:space="preserve">t” yang memandang bahwa pekerja/buruh sebagai obek yang dapat dieksploitasi, bukan sebgai subjek produksi yang sepatutnya dilindungi. Dalam teori nilai kerja Karl Makrx, dinyatakan bahwa laba kapitalis didasarkan atas eksploitasi buruh. </w:t>
      </w:r>
      <w:r w:rsidRPr="00AA250F">
        <w:rPr>
          <w:rFonts w:cstheme="majorBidi"/>
        </w:rPr>
        <w:fldChar w:fldCharType="begin" w:fldLock="1"/>
      </w:r>
      <w:r w:rsidR="00BF68A8">
        <w:rPr>
          <w:rFonts w:cstheme="majorBidi"/>
        </w:rPr>
        <w:instrText>ADDIN CSL_CITATION {"citationItems":[{"id":"ITEM-1","itemData":{"author":[{"dropping-particle":"","family":"Heru Suyanto dan Andriyanto Adhi Nugroho","given":"","non-dropping-particle":"","parse-names":false,"suffix":""}],"container-title":"Jurnal Yuridis","id":"ITEM-1","issue":"2","issued":{"date-parts":[["2016"]]},"page":"1 - 14","title":"PERLINDUNGAN HUKUM TERHADAP HAK-HAK PEKERJA OUTSOURCING BERDASARKAN ASAS KEADILAN","type":"article-journal","volume":"3"},"uris":["http://www.mendeley.com/documents/?uuid=9487b776-1562-4715-be2a-008b1932393b"]}],"mendeley":{"formattedCitation":"Heru Suyanto dan Andriyanto Adhi Nugroho, “PERLINDUNGAN HUKUM TERHADAP HAK-HAK PEKERJA OUTSOURCING BERDASARKAN ASAS KEADILAN,” &lt;i&gt;Jurnal Yuridis&lt;/i&gt; 3, no. 2 (2016): 1–14.","manualFormatting":"Heru Suyanto dan Andriyanto Adhi Nugroho, “Perlindungan Hukum Terhadap Hak-Hak Pekerja Outsourcing Berdasarkan Asas Keadilan,” Jurnal Yuridis 3, no. 2 (2016): 3.","plainTextFormattedCitation":"Heru Suyanto dan Andriyanto Adhi Nugroho, “PERLINDUNGAN HUKUM TERHADAP HAK-HAK PEKERJA OUTSOURCING BERDASARKAN ASAS KEADILAN,” Jurnal Yuridis 3, no. 2 (2016): 1–14.","previouslyFormattedCitation":"Heru Suyanto dan Andriyanto Adhi Nugroho, “PERLINDUNGAN HUKUM TERHADAP HAK-HAK PEKERJA OUTSOURCING BERDASARKAN ASAS KEADILAN,” &lt;i&gt;Jurnal Yuridis&lt;/i&gt; 3, no. 2 (2016): 1–14."},"properties":{"noteIndex":57},"schema":"https://github.com/citation-style-language/schema/raw/master/csl-citation.json"}</w:instrText>
      </w:r>
      <w:r w:rsidRPr="00AA250F">
        <w:rPr>
          <w:rFonts w:cstheme="majorBidi"/>
        </w:rPr>
        <w:fldChar w:fldCharType="separate"/>
      </w:r>
      <w:r w:rsidRPr="00AA250F">
        <w:rPr>
          <w:rFonts w:cstheme="majorBidi"/>
          <w:noProof/>
        </w:rPr>
        <w:t xml:space="preserve">Heru Suyanto dan Andriyanto Adhi Nugroho, “Perlindungan Hukum Terhadap Hak-Hak Pekerja </w:t>
      </w:r>
      <w:r w:rsidRPr="00D118B2">
        <w:rPr>
          <w:rFonts w:cstheme="majorBidi"/>
          <w:i/>
          <w:iCs/>
          <w:noProof/>
        </w:rPr>
        <w:t>Outsourcing</w:t>
      </w:r>
      <w:r w:rsidRPr="00AA250F">
        <w:rPr>
          <w:rFonts w:cstheme="majorBidi"/>
          <w:noProof/>
        </w:rPr>
        <w:t xml:space="preserve"> Berdasarkan Asas Keadilan,” </w:t>
      </w:r>
      <w:r w:rsidRPr="00AA250F">
        <w:rPr>
          <w:rFonts w:cstheme="majorBidi"/>
          <w:i/>
          <w:noProof/>
        </w:rPr>
        <w:t>Jurnal Yuridis</w:t>
      </w:r>
      <w:r w:rsidRPr="00AA250F">
        <w:rPr>
          <w:rFonts w:cstheme="majorBidi"/>
          <w:noProof/>
        </w:rPr>
        <w:t xml:space="preserve"> 3, no. 2 (2016): 3.</w:t>
      </w:r>
      <w:r w:rsidRPr="00AA250F">
        <w:rPr>
          <w:rFonts w:cstheme="majorBidi"/>
        </w:rPr>
        <w:fldChar w:fldCharType="end"/>
      </w:r>
    </w:p>
  </w:footnote>
  <w:footnote w:id="58">
    <w:p w:rsidR="000F3058" w:rsidRPr="00AA250F" w:rsidRDefault="000F3058"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{"citationItems":[{"id":"ITEM-1","itemData":{"author":[{"dropping-particle":"","family":"Suseno","given":"Franz Magnis","non-dropping-particle":"","parse-names":false,"suffix":""}],"id":"ITEM-1","issued":{"date-parts":[["1990"]]},"publisher":"Gramedia","publisher-place":"Jakarta","title":"Kuasa dan Moral","type":"book"},"uris":["http://www.mendeley.com/documents/?uuid=58947f71-e6ec-4008-b944-7cedfa5c6abd"]}],"mendeley":{"formattedCitation":"Franz Magnis Suseno, &lt;i&gt;Kuasa Dan Moral&lt;/i&gt; (Jakarta: Gramedia, 1990).","manualFormatting":"Franz Magnis Suseno, Kuasa dan Moral (Jakarta: Gramedia, 1990), 27.","plainTextFormattedCitation":"Franz Magnis Suseno, Kuasa Dan Moral (Jakarta: Gramedia, 1990).","previouslyFormattedCitation":"Franz Magnis Suseno, &lt;i&gt;Kuasa Dan Moral&lt;/i&gt; (Jakarta: Gramedia, 1990)."},"properties":{"noteIndex":58},"schema":"https://github.com/citation-style-language/schema/raw/master/csl-citation.json"}</w:instrText>
      </w:r>
      <w:r w:rsidRPr="00AA250F">
        <w:rPr>
          <w:rFonts w:cstheme="majorBidi"/>
        </w:rPr>
        <w:fldChar w:fldCharType="separate"/>
      </w:r>
      <w:r w:rsidRPr="00AA250F">
        <w:rPr>
          <w:rFonts w:cstheme="majorBidi"/>
          <w:noProof/>
        </w:rPr>
        <w:t xml:space="preserve">Franz Magnis Suseno, </w:t>
      </w:r>
      <w:r w:rsidRPr="00AA250F">
        <w:rPr>
          <w:rFonts w:cstheme="majorBidi"/>
          <w:i/>
          <w:noProof/>
        </w:rPr>
        <w:t>Kuasa dan Moral</w:t>
      </w:r>
      <w:r w:rsidRPr="00AA250F">
        <w:rPr>
          <w:rFonts w:cstheme="majorBidi"/>
          <w:noProof/>
        </w:rPr>
        <w:t xml:space="preserve"> (Jakarta: Gramedia, 1990), 27.</w:t>
      </w:r>
      <w:r w:rsidRPr="00AA250F">
        <w:rPr>
          <w:rFonts w:cstheme="majorBidi"/>
        </w:rPr>
        <w:fldChar w:fldCharType="end"/>
      </w:r>
    </w:p>
  </w:footnote>
  <w:footnote w:id="59">
    <w:p w:rsidR="000F3058" w:rsidRPr="00AA250F" w:rsidRDefault="000F3058"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{"citationItems":[{"id":"ITEM-1","itemData":{"author":[{"dropping-particle":"","family":"Giyono","given":"Urip","non-dropping-particle":"","parse-names":false,"suffix":""}],"container-title":"De Jure","id":"ITEM-1","issue":"1","issued":{"date-parts":[["2017"]]},"page":"84 - 99","title":"ANALISA HUKUM KETENAGAKERJAAN TERHADAP ASAS KEADILAN PADA UNDANG-UNDANG STANDAR BURUH YANG ADIL (FAIR LABOR STANDAR ACT) TAHUN 1938","type":"article-journal","volume":"1"},"uris":["http://www.mendeley.com/documents/?uuid=7130b212-4bb8-45dc-bd45-c706ef470ea9"]}],"mendeley":{"formattedCitation":"Urip Giyono, “ANALISA HUKUM KETENAGAKERJAAN TERHADAP ASAS KEADILAN PADA UNDANG-UNDANG STANDAR BURUH YANG ADIL (FAIR LABOR STANDAR ACT) TAHUN 1938,” &lt;i&gt;De Jure&lt;/i&gt; 1, no. 1 (2017): 84–99.","manualFormatting":"Urip Giyono, “Analisa Hukum Ketenagakerjaan Terhadap Asas Keadilan Pada Undang-Undang Ketenagakerjaan Standar Buruh Yang Adil (Fair Labor Standar Act) Tahun 1938,” De Jure 1, no. 1 (2017): 85.","plainTextFormattedCitation":"Urip Giyono, “ANALISA HUKUM KETENAGAKERJAAN TERHADAP ASAS KEADILAN PADA UNDANG-UNDANG STANDAR BURUH YANG ADIL (FAIR LABOR STANDAR ACT) TAHUN 1938,” De Jure 1, no. 1 (2017): 84–99.","previouslyFormattedCitation":"Urip Giyono, “ANALISA HUKUM KETENAGAKERJAAN TERHADAP ASAS KEADILAN PADA UNDANG-UNDANG STANDAR BURUH YANG ADIL (FAIR LABOR STANDAR ACT) TAHUN 1938,” &lt;i&gt;De Jure&lt;/i&gt; 1, no. 1 (2017): 84–99."},"properties":{"noteIndex":59},"schema":"https://github.com/citation-style-language/schema/raw/master/csl-citation.json"}</w:instrText>
      </w:r>
      <w:r w:rsidRPr="00AA250F">
        <w:rPr>
          <w:rFonts w:cstheme="majorBidi"/>
        </w:rPr>
        <w:fldChar w:fldCharType="separate"/>
      </w:r>
      <w:r w:rsidRPr="00AA250F">
        <w:rPr>
          <w:rFonts w:cstheme="majorBidi"/>
          <w:noProof/>
        </w:rPr>
        <w:t xml:space="preserve">Urip Giyono, “Analisa Hukum Ketenagakerjaan Terhadap Asas Keadilan Pada </w:t>
      </w:r>
      <w:r>
        <w:rPr>
          <w:rFonts w:cstheme="majorBidi"/>
          <w:noProof/>
        </w:rPr>
        <w:t>U</w:t>
      </w:r>
      <w:r>
        <w:rPr>
          <w:rFonts w:cstheme="majorBidi"/>
          <w:noProof/>
          <w:lang w:val="id-ID"/>
        </w:rPr>
        <w:t>ndang-Undang Ketenagakerjaan</w:t>
      </w:r>
      <w:r w:rsidRPr="00AA250F">
        <w:rPr>
          <w:rFonts w:cstheme="majorBidi"/>
          <w:noProof/>
        </w:rPr>
        <w:t xml:space="preserve"> Standar Buruh Yang Adil (Fair Labor Standar Act) Tahun 1938,” </w:t>
      </w:r>
      <w:r w:rsidRPr="00AA250F">
        <w:rPr>
          <w:rFonts w:cstheme="majorBidi"/>
          <w:i/>
          <w:noProof/>
        </w:rPr>
        <w:t>De Jure</w:t>
      </w:r>
      <w:r w:rsidRPr="00AA250F">
        <w:rPr>
          <w:rFonts w:cstheme="majorBidi"/>
          <w:noProof/>
        </w:rPr>
        <w:t xml:space="preserve"> 1, no. 1 (2017): 85.</w:t>
      </w:r>
      <w:r w:rsidRPr="00AA250F">
        <w:rPr>
          <w:rFonts w:cstheme="majorBidi"/>
        </w:rPr>
        <w:fldChar w:fldCharType="end"/>
      </w:r>
    </w:p>
  </w:footnote>
  <w:footnote w:id="60">
    <w:p w:rsidR="000F3058" w:rsidRPr="00AA250F" w:rsidRDefault="000F3058"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Kholis","given":"Nur","non-dropping-particle":"","parse-names":false,"suffix":""}],"container-title":"Legality","id":"ITEM-1","issue":"2","issued":{"date-parts":[["2019"]]},"page":"210 - 237","title":"ASAS NON DISKRIMINASI DALAM CONTEMPT OF COURT","type":"article-journal","volume":"26"},"uris":["http://www.mendeley.com/documents/?uuid=a5f807f7-1079-490d-a7a4-e5f7913713f1"]}],"mendeley":{"formattedCitation":"Nur Kholis, “ASAS NON DISKRIMINASI DALAM CONTEMPT OF COURT,” &lt;i&gt;Legality&lt;/i&gt; 26, no. 2 (2019): 210–37.","manualFormatting":"Nur Kholis, “Asas Non Diskriminasi Dalam Contempt Of Court,” Legality 26, no. 2 (2019): 219.","plainTextFormattedCitation":"Nur Kholis, “ASAS NON DISKRIMINASI DALAM CONTEMPT OF COURT,” Legality 26, no. 2 (2019): 210–37.","previouslyFormattedCitation":"Nur Kholis, “ASAS NON DISKRIMINASI DALAM CONTEMPT OF COURT,” &lt;i&gt;Legality&lt;/i&gt; 26, no. 2 (2019): 210–37."},"properties":{"noteIndex":60},"schema":"https://github.com/citation-style-language/schema/raw/master/csl-citation.json"}</w:instrText>
      </w:r>
      <w:r w:rsidRPr="00AA250F">
        <w:rPr>
          <w:rFonts w:cstheme="majorBidi"/>
        </w:rPr>
        <w:fldChar w:fldCharType="separate"/>
      </w:r>
      <w:r w:rsidRPr="00AA250F">
        <w:rPr>
          <w:rFonts w:cstheme="majorBidi"/>
          <w:noProof/>
        </w:rPr>
        <w:t xml:space="preserve">Nur Kholis, “Asas Non Diskriminasi Dalam Contempt Of Court,” </w:t>
      </w:r>
      <w:r w:rsidRPr="00AA250F">
        <w:rPr>
          <w:rFonts w:cstheme="majorBidi"/>
          <w:i/>
          <w:noProof/>
        </w:rPr>
        <w:t>Legality</w:t>
      </w:r>
      <w:r w:rsidRPr="00AA250F">
        <w:rPr>
          <w:rFonts w:cstheme="majorBidi"/>
          <w:noProof/>
        </w:rPr>
        <w:t xml:space="preserve"> 26, no. 2 (2019): 219.</w:t>
      </w:r>
      <w:r w:rsidRPr="00AA250F">
        <w:rPr>
          <w:rFonts w:cstheme="majorBidi"/>
        </w:rPr>
        <w:fldChar w:fldCharType="end"/>
      </w:r>
    </w:p>
  </w:footnote>
  <w:footnote w:id="61">
    <w:p w:rsidR="000F3058" w:rsidRPr="00AA250F" w:rsidRDefault="000F3058"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{"citationItems":[{"id":"ITEM-1","itemData":{"id":"ITEM-1","issued":{"date-parts":[["0"]]},"title":"Undang-Undang Nomor 39 Tahun 1999 tentang Hak Aasi Manusia","type":"legislation"},"uris":["http://www.mendeley.com/documents/?uuid=982cc115-b339-44ea-8d6a-18539c6769be"]}],"mendeley":{"formattedCitation":"“Undang-Undang Nomor 39 Tahun 1999 Tentang Hak Aasi Manusia” (n.d.).","manualFormatting":"Pasal 1 Ayat (3) Undang-Undang Nomor 39 Tahun 1999 Tentang Hak Aasi Manusia","plainTextFormattedCitation":"“Undang-Undang Nomor 39 Tahun 1999 Tentang Hak Aasi Manusia” (n.d.).","previouslyFormattedCitation":"“Undang-Undang Nomor 39 Tahun 1999 Tentang Hak Aasi Manusia” (n.d.)."},"properties":{"noteIndex":61},"schema":"https://github.com/citation-style-language/schema/raw/master/csl-citation.json"}</w:instrText>
      </w:r>
      <w:r w:rsidRPr="00AA250F">
        <w:rPr>
          <w:rFonts w:cstheme="majorBidi"/>
        </w:rPr>
        <w:fldChar w:fldCharType="separate"/>
      </w:r>
      <w:r w:rsidRPr="00AA250F">
        <w:rPr>
          <w:rFonts w:cstheme="majorBidi"/>
          <w:noProof/>
        </w:rPr>
        <w:t xml:space="preserve">Pasal 1 Ayat (3) </w:t>
      </w:r>
      <w:r>
        <w:rPr>
          <w:rFonts w:cstheme="majorBidi"/>
          <w:noProof/>
        </w:rPr>
        <w:t>Undang-Undang</w:t>
      </w:r>
      <w:r w:rsidRPr="00AA250F">
        <w:rPr>
          <w:rFonts w:cstheme="majorBidi"/>
          <w:noProof/>
        </w:rPr>
        <w:t xml:space="preserve"> Nomor 39 Tahun 1999 Tentang Hak Aasi Manusia</w:t>
      </w:r>
      <w:r w:rsidRPr="00AA250F">
        <w:rPr>
          <w:rFonts w:cstheme="majorBidi"/>
        </w:rPr>
        <w:fldChar w:fldCharType="end"/>
      </w:r>
    </w:p>
  </w:footnote>
  <w:footnote w:id="62">
    <w:p w:rsidR="000F3058" w:rsidRPr="00AA250F" w:rsidRDefault="000F3058"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{"citationItems":[{"id":"ITEM-1","itemData":{"author":[{"dropping-particle":"","family":"Shunita Laxmi Dewi, Sonhaji","given":"Budi Ispriarso","non-dropping-particle":"","parse-names":false,"suffix":""}],"container-title":"DIPONEGORO LAW JOURNAL","id":"ITEM-1","issue":"1","issued":{"date-parts":[["2017"]]},"page":"1 - 21","title":"Penerapan Prinsip Non Diskriminasi dan Kesetaraan dalam Pengupahan bagi Pekerja/Buruh di Kabupaten Kendal","type":"article-journal","volume":"6"},"uris":["http://www.mendeley.com/documents/?uuid=050f4a24-e816-46fd-a857-033475c7710a"]}],"mendeley":{"formattedCitation":"Budi Ispriarso Shunita Laxmi Dewi, Sonhaji, “Penerapan Prinsip Non Diskriminasi Dan Kesetaraan Dalam Pengupahan Bagi Pekerja/Buruh Di Kabupaten Kendal,” &lt;i&gt;DIPONEGORO LAW JOURNAL&lt;/i&gt; 6, no. 1 (2017): 1–21.","manualFormatting":"Shunita Laxmi Dewi, Sonhaji, dan Budi Ispriarso, “Penerapan Prinsip Non Diskriminasi dan Kesetaraan Dalam Pengupahan Bagi Pekerja/Buruh di Kabupaten Kendal,” DIPONEGORO LAW JOURNAL 6, no. 1 (2017): 3.","plainTextFormattedCitation":"Budi Ispriarso Shunita Laxmi Dewi, Sonhaji, “Penerapan Prinsip Non Diskriminasi Dan Kesetaraan Dalam Pengupahan Bagi Pekerja/Buruh Di Kabupaten Kendal,” DIPONEGORO LAW JOURNAL 6, no. 1 (2017): 1–21.","previouslyFormattedCitation":"Budi Ispriarso Shunita Laxmi Dewi, Sonhaji, “Penerapan Prinsip Non Diskriminasi Dan Kesetaraan Dalam Pengupahan Bagi Pekerja/Buruh Di Kabupaten Kendal,” &lt;i&gt;DIPONEGORO LAW JOURNAL&lt;/i&gt; 6, no. 1 (2017): 1–21."},"properties":{"noteIndex":62},"schema":"https://github.com/citation-style-language/schema/raw/master/csl-citation.json"}</w:instrText>
      </w:r>
      <w:r w:rsidRPr="00AA250F">
        <w:rPr>
          <w:rFonts w:cstheme="majorBidi"/>
        </w:rPr>
        <w:fldChar w:fldCharType="separate"/>
      </w:r>
      <w:r w:rsidRPr="00AA250F">
        <w:rPr>
          <w:rFonts w:cstheme="majorBidi"/>
          <w:noProof/>
        </w:rPr>
        <w:t xml:space="preserve">Shunita Laxmi Dewi, Sonhaji, dan Budi Ispriarso, “Penerapan Prinsip Non Diskriminasi dan Kesetaraan Dalam Pengupahan Bagi Pekerja/Buruh di Kabupaten Kendal,” </w:t>
      </w:r>
      <w:r w:rsidRPr="00AA250F">
        <w:rPr>
          <w:rFonts w:cstheme="majorBidi"/>
          <w:i/>
          <w:noProof/>
        </w:rPr>
        <w:t>DIPONEGORO LAW JOURNAL</w:t>
      </w:r>
      <w:r w:rsidRPr="00AA250F">
        <w:rPr>
          <w:rFonts w:cstheme="majorBidi"/>
          <w:noProof/>
        </w:rPr>
        <w:t xml:space="preserve"> 6, no. 1 (2017): 3.</w:t>
      </w:r>
      <w:r w:rsidRPr="00AA250F">
        <w:rPr>
          <w:rFonts w:cstheme="majorBidi"/>
        </w:rPr>
        <w:fldChar w:fldCharType="end"/>
      </w:r>
    </w:p>
  </w:footnote>
  <w:footnote w:id="63">
    <w:p w:rsidR="000F3058" w:rsidRPr="00AA250F" w:rsidRDefault="000F3058" w:rsidP="00444D63">
      <w:pPr>
        <w:pStyle w:val="FootnoteText"/>
        <w:jc w:val="both"/>
        <w:rPr>
          <w:rFonts w:cstheme="majorBidi"/>
        </w:rPr>
      </w:pPr>
      <w:r w:rsidRPr="00AA250F">
        <w:rPr>
          <w:rStyle w:val="FootnoteReference"/>
          <w:rFonts w:cstheme="majorBidi"/>
        </w:rPr>
        <w:footnoteRef/>
      </w:r>
      <w:r w:rsidRPr="00AA250F">
        <w:rPr>
          <w:rFonts w:cstheme="majorBidi"/>
          <w:noProof/>
        </w:rPr>
        <w:fldChar w:fldCharType="begin" w:fldLock="1"/>
      </w:r>
      <w:r w:rsidR="00BF68A8">
        <w:rPr>
          <w:rFonts w:cstheme="majorBidi"/>
          <w:noProof/>
        </w:rPr>
        <w:instrText>ADDIN CSL_CITATION {"citationItems":[{"id":"ITEM-1","itemData":{"author":[{"dropping-particle":"","family":"Giyono","given":"Urip","non-dropping-particle":"","parse-names":false,"suffix":""}],"container-title":"De Jure","id":"ITEM-1","issue":"1","issued":{"date-parts":[["2017"]]},"page":"84 - 99","title":"ANALISA HUKUM KETENAGAKERJAAN TERHADAP ASAS KEADILAN PADA UNDANG-UNDANG STANDAR BURUH YANG ADIL (FAIR LABOR STANDAR ACT) TAHUN 1938","type":"article-journal","volume":"1"},"uris":["http://www.mendeley.com/documents/?uuid=7130b212-4bb8-45dc-bd45-c706ef470ea9"]}],"mendeley":{"formattedCitation":"Giyono, “ANALISA HUKUM KETENAGAKERJAAN TERHADAP ASAS KEADILAN PADA UNDANG-UNDANG STANDAR BURUH YANG ADIL (FAIR LABOR STANDAR ACT) TAHUN 1938.”","manualFormatting":"Urip Giyono,“Analisa Hukum Ketenagakerjaan Terhadap Asas Keadilan Pada UNDANG-UNDANG Standar Buruh Yang Adil (Fair Labor Standar Act) Tahun 1938","plainTextFormattedCitation":"Giyono, “ANALISA HUKUM KETENAGAKERJAAN TERHADAP ASAS KEADILAN PADA UNDANG-UNDANG STANDAR BURUH YANG ADIL (FAIR LABOR STANDAR ACT) TAHUN 1938.”","previouslyFormattedCitation":"Giyono, “ANALISA HUKUM KETENAGAKERJAAN TERHADAP ASAS KEADILAN PADA UNDANG-UNDANG STANDAR BURUH YANG ADIL (FAIR LABOR STANDAR ACT) TAHUN 1938.”"},"properties":{"noteIndex":63},"schema":"https://github.com/citation-style-language/schema/raw/master/csl-citation.json"}</w:instrText>
      </w:r>
      <w:r w:rsidRPr="00AA250F">
        <w:rPr>
          <w:rFonts w:cstheme="majorBidi"/>
          <w:noProof/>
        </w:rPr>
        <w:fldChar w:fldCharType="separate"/>
      </w:r>
      <w:r w:rsidRPr="00AA250F">
        <w:rPr>
          <w:rFonts w:cstheme="majorBidi"/>
          <w:noProof/>
        </w:rPr>
        <w:t xml:space="preserve">Urip Giyono,“Analisa Hukum Ketenagakerjaan Terhadap Asas Keadilan Pada </w:t>
      </w:r>
      <w:r w:rsidR="00444D63">
        <w:rPr>
          <w:rFonts w:cstheme="majorBidi"/>
          <w:noProof/>
        </w:rPr>
        <w:t>Undang-Undang</w:t>
      </w:r>
      <w:r w:rsidRPr="00AA250F">
        <w:rPr>
          <w:rFonts w:cstheme="majorBidi"/>
          <w:noProof/>
        </w:rPr>
        <w:t xml:space="preserve"> Standar Buruh Yang Adil (</w:t>
      </w:r>
      <w:r w:rsidRPr="00AA250F">
        <w:rPr>
          <w:rFonts w:cstheme="majorBidi"/>
          <w:i/>
          <w:iCs/>
          <w:noProof/>
        </w:rPr>
        <w:t>Fair Labor Standar Act</w:t>
      </w:r>
      <w:r w:rsidRPr="00AA250F">
        <w:rPr>
          <w:rFonts w:cstheme="majorBidi"/>
          <w:noProof/>
        </w:rPr>
        <w:t>) Tahun 1938</w:t>
      </w:r>
      <w:r w:rsidRPr="00AA250F">
        <w:rPr>
          <w:rFonts w:cstheme="majorBidi"/>
          <w:noProof/>
        </w:rPr>
        <w:fldChar w:fldCharType="end"/>
      </w:r>
      <w:r w:rsidRPr="00AA250F">
        <w:rPr>
          <w:rFonts w:cstheme="majorBidi"/>
          <w:noProof/>
        </w:rPr>
        <w:t xml:space="preserve">: 85. </w:t>
      </w:r>
    </w:p>
  </w:footnote>
  <w:footnote w:id="64">
    <w:p w:rsidR="000F3058" w:rsidRPr="00AA250F" w:rsidRDefault="000F3058" w:rsidP="00F60299">
      <w:pPr>
        <w:pStyle w:val="FootnoteText"/>
        <w:jc w:val="both"/>
        <w:rPr>
          <w:rFonts w:cstheme="majorBidi"/>
        </w:rPr>
      </w:pPr>
      <w:r w:rsidRPr="00AA250F">
        <w:rPr>
          <w:rStyle w:val="FootnoteReference"/>
          <w:rFonts w:cstheme="majorBidi"/>
        </w:rPr>
        <w:footnoteRef/>
      </w:r>
      <w:r w:rsidRPr="00AA250F">
        <w:rPr>
          <w:rFonts w:cstheme="majorBidi"/>
        </w:rPr>
        <w:t xml:space="preserve"> </w:t>
      </w:r>
      <w:r w:rsidRPr="00AA250F">
        <w:rPr>
          <w:rFonts w:cstheme="majorBidi"/>
        </w:rPr>
        <w:fldChar w:fldCharType="begin" w:fldLock="1"/>
      </w:r>
      <w:r w:rsidR="00BF68A8">
        <w:rPr>
          <w:rFonts w:cstheme="majorBidi"/>
        </w:rPr>
        <w:instrText>ADDIN CSL_CITATION {"citationItems":[{"id":"ITEM-1","itemData":{"DOI":"http://dx.doi.org/10.30641/ham.2021.12.1-18","author":[{"dropping-particle":"","family":"Suntoro","given":"Agus","non-dropping-particle":"","parse-names":false,"suffix":""}],"container-title":"jurnal HAM","id":"ITEM-1","issue":"1","issued":{"date-parts":[["2021"]]},"page":"1 - 18","title":"IMPLEMENTASI PENCAPAIAN SECARA PROGRESIF DALAM OMNIBUS LAW CIPTA KERJA (The Implementation of Progressive Realization at Omnibus Law)","type":"article-journal","volume":"12"},"uris":["http://www.mendeley.com/documents/?uuid=c478dadf-d705-44f9-b675-8d7adf5fe119"]}],"mendeley":{"formattedCitation":"Agus Suntoro, “IMPLEMENTASI PENCAPAIAN SECARA PROGRESIF DALAM OMNIBUS LAW CIPTA KERJA (The Implementation of Progressive Realization at Omnibus Law),” &lt;i&gt;Jurnal HAM&lt;/i&gt; 12, no. 1 (2021): 1–18, https://doi.org/http://dx.doi.org/10.30641/ham.2021.12.1-18.","manualFormatting":"Agus Suntoro, “Implementasi Pencapaian Secara Progresif dalam Omnibus Law Cipta Kerja (The Implementation of Progressive Realization at Omnibus Law),” Jurnal HAM 12, no. 1 (2021): 8, https://doi.org/http://dx.doi.org/10.30641/ham.2021.12.1-18.","plainTextFormattedCitation":"Agus Suntoro, “IMPLEMENTASI PENCAPAIAN SECARA PROGRESIF DALAM OMNIBUS LAW CIPTA KERJA (The Implementation of Progressive Realization at Omnibus Law),” Jurnal HAM 12, no. 1 (2021): 1–18, https://doi.org/http://dx.doi.org/10.30641/ham.2021.12.1-18.","previouslyFormattedCitation":"Agus Suntoro, “IMPLEMENTASI PENCAPAIAN SECARA PROGRESIF DALAM OMNIBUS LAW CIPTA KERJA (The Implementation of Progressive Realization at Omnibus Law),” &lt;i&gt;Jurnal HAM&lt;/i&gt; 12, no. 1 (2021): 1–18, https://doi.org/http://dx.doi.org/10.30641/ham.2021.12.1-18."},"properties":{"noteIndex":64},"schema":"https://github.com/citation-style-language/schema/raw/master/csl-citation.json"}</w:instrText>
      </w:r>
      <w:r w:rsidRPr="00AA250F">
        <w:rPr>
          <w:rFonts w:cstheme="majorBidi"/>
        </w:rPr>
        <w:fldChar w:fldCharType="separate"/>
      </w:r>
      <w:r w:rsidRPr="00AA250F">
        <w:rPr>
          <w:rFonts w:cstheme="majorBidi"/>
          <w:noProof/>
        </w:rPr>
        <w:t xml:space="preserve">Agus Suntoro, “Implementasi Pencapaian Secara Progresif dalam </w:t>
      </w:r>
      <w:r w:rsidRPr="00AA250F">
        <w:rPr>
          <w:rFonts w:cstheme="majorBidi"/>
          <w:i/>
          <w:iCs/>
          <w:noProof/>
        </w:rPr>
        <w:t xml:space="preserve">Omnibus Law </w:t>
      </w:r>
      <w:r w:rsidRPr="00AA250F">
        <w:rPr>
          <w:rFonts w:cstheme="majorBidi"/>
          <w:noProof/>
        </w:rPr>
        <w:t xml:space="preserve">Cipta Kerja (The Implementation of Progressive Realization at Omnibus Law),” </w:t>
      </w:r>
      <w:r w:rsidRPr="00AA250F">
        <w:rPr>
          <w:rFonts w:cstheme="majorBidi"/>
          <w:i/>
          <w:noProof/>
        </w:rPr>
        <w:t>Jurnal HAM</w:t>
      </w:r>
      <w:r w:rsidRPr="00AA250F">
        <w:rPr>
          <w:rFonts w:cstheme="majorBidi"/>
          <w:noProof/>
        </w:rPr>
        <w:t xml:space="preserve"> 12, no. 1 (2021): 8, https://doi.org/http://dx.doi.org/10.30641/ham.2021.12.1-18.</w:t>
      </w:r>
      <w:r w:rsidRPr="00AA250F">
        <w:rPr>
          <w:rFonts w:cstheme="majorBidi"/>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D4E2F"/>
    <w:multiLevelType w:val="hybridMultilevel"/>
    <w:tmpl w:val="B44A10B6"/>
    <w:lvl w:ilvl="0" w:tplc="42063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D6B5F6B"/>
    <w:multiLevelType w:val="hybridMultilevel"/>
    <w:tmpl w:val="F4EE0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2B58AA"/>
    <w:multiLevelType w:val="hybridMultilevel"/>
    <w:tmpl w:val="6EC0471E"/>
    <w:lvl w:ilvl="0" w:tplc="BECAEFC0">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8C23FE"/>
    <w:multiLevelType w:val="multilevel"/>
    <w:tmpl w:val="EC5E502C"/>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pStyle w:val="TOC3"/>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3"/>
  </w:num>
  <w:num w:numId="2">
    <w:abstractNumId w:val="0"/>
  </w:num>
  <w:num w:numId="3">
    <w:abstractNumId w:val="3"/>
    <w:lvlOverride w:ilvl="0">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FF"/>
    <w:rsid w:val="000164E0"/>
    <w:rsid w:val="00031423"/>
    <w:rsid w:val="0005748D"/>
    <w:rsid w:val="0006542E"/>
    <w:rsid w:val="0006744D"/>
    <w:rsid w:val="00072D4C"/>
    <w:rsid w:val="00081C5F"/>
    <w:rsid w:val="00087EB8"/>
    <w:rsid w:val="000A0D52"/>
    <w:rsid w:val="000E07E9"/>
    <w:rsid w:val="000F3058"/>
    <w:rsid w:val="001263EE"/>
    <w:rsid w:val="001841E6"/>
    <w:rsid w:val="001C1C5F"/>
    <w:rsid w:val="001D5DEC"/>
    <w:rsid w:val="001D7FAF"/>
    <w:rsid w:val="002047E8"/>
    <w:rsid w:val="00233CD7"/>
    <w:rsid w:val="00244155"/>
    <w:rsid w:val="0025258C"/>
    <w:rsid w:val="00277890"/>
    <w:rsid w:val="002A1EA6"/>
    <w:rsid w:val="002A7993"/>
    <w:rsid w:val="002D415B"/>
    <w:rsid w:val="002E5CE6"/>
    <w:rsid w:val="002F22D6"/>
    <w:rsid w:val="0036275A"/>
    <w:rsid w:val="0036619B"/>
    <w:rsid w:val="0038425C"/>
    <w:rsid w:val="00392C90"/>
    <w:rsid w:val="0039763D"/>
    <w:rsid w:val="003D4A7F"/>
    <w:rsid w:val="003F0959"/>
    <w:rsid w:val="004024C9"/>
    <w:rsid w:val="00402692"/>
    <w:rsid w:val="0043071E"/>
    <w:rsid w:val="0043292B"/>
    <w:rsid w:val="00441D1B"/>
    <w:rsid w:val="00444D63"/>
    <w:rsid w:val="00473598"/>
    <w:rsid w:val="004B3D44"/>
    <w:rsid w:val="004C6339"/>
    <w:rsid w:val="004D77C0"/>
    <w:rsid w:val="005123B9"/>
    <w:rsid w:val="0057191F"/>
    <w:rsid w:val="00577780"/>
    <w:rsid w:val="005950D9"/>
    <w:rsid w:val="005D5B28"/>
    <w:rsid w:val="00630E98"/>
    <w:rsid w:val="00695919"/>
    <w:rsid w:val="006A7C6D"/>
    <w:rsid w:val="006F15C8"/>
    <w:rsid w:val="00773BC3"/>
    <w:rsid w:val="00835BBA"/>
    <w:rsid w:val="008533B1"/>
    <w:rsid w:val="00862D7E"/>
    <w:rsid w:val="00864ABE"/>
    <w:rsid w:val="00885B14"/>
    <w:rsid w:val="008A799A"/>
    <w:rsid w:val="008F6AFF"/>
    <w:rsid w:val="009611FE"/>
    <w:rsid w:val="0097252E"/>
    <w:rsid w:val="00976C5E"/>
    <w:rsid w:val="009A0D6C"/>
    <w:rsid w:val="009C68F1"/>
    <w:rsid w:val="009E7542"/>
    <w:rsid w:val="009F2CF2"/>
    <w:rsid w:val="00A756D6"/>
    <w:rsid w:val="00AE7F33"/>
    <w:rsid w:val="00B10A69"/>
    <w:rsid w:val="00B227FF"/>
    <w:rsid w:val="00B34792"/>
    <w:rsid w:val="00B6412E"/>
    <w:rsid w:val="00B64C64"/>
    <w:rsid w:val="00BA2998"/>
    <w:rsid w:val="00BA4B94"/>
    <w:rsid w:val="00BD0BA3"/>
    <w:rsid w:val="00BF68A8"/>
    <w:rsid w:val="00C206A4"/>
    <w:rsid w:val="00C21109"/>
    <w:rsid w:val="00C42DB4"/>
    <w:rsid w:val="00C522AD"/>
    <w:rsid w:val="00C97734"/>
    <w:rsid w:val="00CA3BD5"/>
    <w:rsid w:val="00CC17A6"/>
    <w:rsid w:val="00CE3E53"/>
    <w:rsid w:val="00D118B2"/>
    <w:rsid w:val="00D40C6B"/>
    <w:rsid w:val="00DD2E44"/>
    <w:rsid w:val="00DE2E5C"/>
    <w:rsid w:val="00E2243A"/>
    <w:rsid w:val="00E23FC7"/>
    <w:rsid w:val="00E313A3"/>
    <w:rsid w:val="00E37FBE"/>
    <w:rsid w:val="00E73A2D"/>
    <w:rsid w:val="00E77617"/>
    <w:rsid w:val="00EA7183"/>
    <w:rsid w:val="00ED37C8"/>
    <w:rsid w:val="00F05AAA"/>
    <w:rsid w:val="00F34D73"/>
    <w:rsid w:val="00F60299"/>
    <w:rsid w:val="00F83034"/>
    <w:rsid w:val="00F93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6D8126-879C-421E-82DB-1CC7CA65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B227FF"/>
    <w:pPr>
      <w:spacing w:line="256" w:lineRule="auto"/>
    </w:pPr>
    <w:rPr>
      <w:rFonts w:asciiTheme="majorBidi" w:eastAsiaTheme="minorEastAsia" w:hAnsiTheme="majorBidi" w:cs="Arial"/>
      <w:sz w:val="24"/>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227FF"/>
    <w:pPr>
      <w:spacing w:after="0" w:line="240" w:lineRule="auto"/>
    </w:pPr>
    <w:rPr>
      <w:sz w:val="20"/>
      <w:szCs w:val="20"/>
    </w:rPr>
  </w:style>
  <w:style w:type="character" w:customStyle="1" w:styleId="FootnoteTextChar">
    <w:name w:val="Footnote Text Char"/>
    <w:basedOn w:val="DefaultParagraphFont"/>
    <w:link w:val="FootnoteText"/>
    <w:uiPriority w:val="99"/>
    <w:rsid w:val="00B227FF"/>
    <w:rPr>
      <w:rFonts w:asciiTheme="majorBidi" w:eastAsiaTheme="minorEastAsia" w:hAnsiTheme="majorBidi" w:cs="Arial"/>
      <w:sz w:val="20"/>
      <w:szCs w:val="20"/>
      <w:lang w:val="en-ID" w:eastAsia="ko-KR"/>
    </w:rPr>
  </w:style>
  <w:style w:type="character" w:styleId="FootnoteReference">
    <w:name w:val="footnote reference"/>
    <w:basedOn w:val="DefaultParagraphFont"/>
    <w:uiPriority w:val="99"/>
    <w:unhideWhenUsed/>
    <w:rsid w:val="00B227FF"/>
    <w:rPr>
      <w:vertAlign w:val="superscript"/>
    </w:rPr>
  </w:style>
  <w:style w:type="paragraph" w:styleId="BodyText">
    <w:name w:val="Body Text"/>
    <w:basedOn w:val="Normal"/>
    <w:link w:val="BodyTextChar"/>
    <w:uiPriority w:val="1"/>
    <w:qFormat/>
    <w:rsid w:val="00DE2E5C"/>
    <w:pPr>
      <w:widowControl w:val="0"/>
      <w:autoSpaceDE w:val="0"/>
      <w:autoSpaceDN w:val="0"/>
      <w:spacing w:after="0" w:line="240" w:lineRule="auto"/>
    </w:pPr>
    <w:rPr>
      <w:rFonts w:ascii="Times New Roman" w:eastAsia="Times New Roman" w:hAnsi="Times New Roman" w:cs="Times New Roman"/>
      <w:sz w:val="20"/>
      <w:szCs w:val="20"/>
      <w:lang w:val="id" w:eastAsia="en-US"/>
    </w:rPr>
  </w:style>
  <w:style w:type="character" w:customStyle="1" w:styleId="BodyTextChar">
    <w:name w:val="Body Text Char"/>
    <w:basedOn w:val="DefaultParagraphFont"/>
    <w:link w:val="BodyText"/>
    <w:uiPriority w:val="1"/>
    <w:rsid w:val="00DE2E5C"/>
    <w:rPr>
      <w:rFonts w:ascii="Times New Roman" w:eastAsia="Times New Roman" w:hAnsi="Times New Roman" w:cs="Times New Roman"/>
      <w:sz w:val="20"/>
      <w:szCs w:val="20"/>
      <w:lang w:val="id"/>
    </w:rPr>
  </w:style>
  <w:style w:type="paragraph" w:styleId="ListParagraph">
    <w:name w:val="List Paragraph"/>
    <w:basedOn w:val="Normal"/>
    <w:uiPriority w:val="34"/>
    <w:qFormat/>
    <w:rsid w:val="001D5DEC"/>
    <w:pPr>
      <w:spacing w:line="259" w:lineRule="auto"/>
      <w:ind w:left="720"/>
      <w:contextualSpacing/>
    </w:pPr>
    <w:rPr>
      <w:rFonts w:asciiTheme="minorHAnsi" w:eastAsiaTheme="minorHAnsi" w:hAnsiTheme="minorHAnsi" w:cstheme="minorBidi"/>
      <w:sz w:val="22"/>
      <w:lang w:val="en-US" w:eastAsia="en-US"/>
    </w:rPr>
  </w:style>
  <w:style w:type="paragraph" w:styleId="TOC3">
    <w:name w:val="toc 3"/>
    <w:basedOn w:val="Normal"/>
    <w:next w:val="Normal"/>
    <w:autoRedefine/>
    <w:uiPriority w:val="39"/>
    <w:unhideWhenUsed/>
    <w:rsid w:val="001D5DEC"/>
    <w:pPr>
      <w:numPr>
        <w:ilvl w:val="3"/>
        <w:numId w:val="1"/>
      </w:numPr>
      <w:spacing w:after="100" w:line="259" w:lineRule="auto"/>
    </w:pPr>
    <w:rPr>
      <w:rFonts w:asciiTheme="minorHAnsi" w:hAnsiTheme="minorHAnsi" w:cs="Times New Roman"/>
      <w:sz w:val="22"/>
      <w:lang w:val="en-US" w:eastAsia="en-US"/>
    </w:rPr>
  </w:style>
  <w:style w:type="character" w:customStyle="1" w:styleId="hgkelc">
    <w:name w:val="hgkelc"/>
    <w:basedOn w:val="DefaultParagraphFont"/>
    <w:rsid w:val="001D5DEC"/>
  </w:style>
  <w:style w:type="character" w:styleId="Emphasis">
    <w:name w:val="Emphasis"/>
    <w:basedOn w:val="DefaultParagraphFont"/>
    <w:uiPriority w:val="20"/>
    <w:qFormat/>
    <w:rsid w:val="004024C9"/>
    <w:rPr>
      <w:i/>
      <w:iCs/>
    </w:rPr>
  </w:style>
  <w:style w:type="paragraph" w:styleId="Header">
    <w:name w:val="header"/>
    <w:basedOn w:val="Normal"/>
    <w:link w:val="HeaderChar"/>
    <w:uiPriority w:val="99"/>
    <w:unhideWhenUsed/>
    <w:rsid w:val="00392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90"/>
    <w:rPr>
      <w:rFonts w:asciiTheme="majorBidi" w:eastAsiaTheme="minorEastAsia" w:hAnsiTheme="majorBidi" w:cs="Arial"/>
      <w:sz w:val="24"/>
      <w:lang w:val="en-ID" w:eastAsia="ko-KR"/>
    </w:rPr>
  </w:style>
  <w:style w:type="paragraph" w:styleId="Footer">
    <w:name w:val="footer"/>
    <w:basedOn w:val="Normal"/>
    <w:link w:val="FooterChar"/>
    <w:uiPriority w:val="99"/>
    <w:unhideWhenUsed/>
    <w:rsid w:val="00392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90"/>
    <w:rPr>
      <w:rFonts w:asciiTheme="majorBidi" w:eastAsiaTheme="minorEastAsia" w:hAnsiTheme="majorBidi" w:cs="Arial"/>
      <w:sz w:val="24"/>
      <w:lang w:val="en-ID" w:eastAsia="ko-KR"/>
    </w:rPr>
  </w:style>
  <w:style w:type="character" w:styleId="Hyperlink">
    <w:name w:val="Hyperlink"/>
    <w:basedOn w:val="DefaultParagraphFont"/>
    <w:uiPriority w:val="99"/>
    <w:unhideWhenUsed/>
    <w:rsid w:val="00E776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urim2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6CDD-899A-4655-B4B8-AB37D67A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28</Pages>
  <Words>8334</Words>
  <Characters>47506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dc:creator>
  <cp:keywords/>
  <dc:description/>
  <cp:lastModifiedBy>muhamad</cp:lastModifiedBy>
  <cp:revision>12</cp:revision>
  <dcterms:created xsi:type="dcterms:W3CDTF">2022-09-12T13:11:00Z</dcterms:created>
  <dcterms:modified xsi:type="dcterms:W3CDTF">2022-09-21T09:58:00Z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cf4a27d1-5c7e-3f59-85d6-fa19ad26ecff</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605a36d7197a194b471d048a3396e93cf96eda0f11b4b8391c9fe03c3089c0ff</vt:lpwstr>
  </property>
</Properties>
</file>